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png" PartName="/word/media/document_image_rId18.png"/>
  <Override ContentType="image/png" PartName="/word/media/document_image_rId19.png"/>
  <Override ContentType="image/png" PartName="/word/media/document_image_rId20.png"/>
  <Override ContentType="image/png" PartName="/word/media/document_image_rId21.png"/>
  <Override ContentType="image/png" PartName="/word/media/document_image_rId22.png"/>
  <Override ContentType="image/png" PartName="/word/media/document_image_rId23.png"/>
  <Override ContentType="image/png" PartName="/word/media/document_image_rId24.png"/>
  <Override ContentType="image/png" PartName="/word/media/document_image_rId25.png"/>
  <Override ContentType="image/png" PartName="/word/media/document_image_rId26.png"/>
  <Override ContentType="image/png" PartName="/word/media/document_image_rId27.png"/>
  <Override ContentType="image/png" PartName="/word/media/document_image_rId28.png"/>
  <Override ContentType="image/png" PartName="/word/media/document_image_rId29.png"/>
  <Override ContentType="image/png" PartName="/word/media/document_image_rId30.png"/>
  <Override ContentType="image/png" PartName="/word/media/document_image_rId3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d1c5dc6" w14:textId="d1c5dc6">
      <w:pPr>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24.01.2023</w:t>
      </w:r>
    </w:p>
    <w:bookmarkStart w:name="2855888493" w:id="0"/>
    <w:p>
      <w:pPr>
        <w:spacing w:before="120" w:after="120" w:line="240"/>
        <w:ind w:left="0"/>
        <w:jc w:val="center"/>
      </w:pPr>
      <w:r>
        <w:rPr>
          <w:rFonts w:hint="default" w:ascii="Times New Roman" w:hAnsi="Times New Roman"/>
          <w:b/>
          <w:i w:val="false"/>
          <w:color w:val="000000"/>
          <w:sz w:val="24"/>
        </w:rPr>
        <w:t>Об утверждении стандарта организации оказания медицинской помощи в области ядерной медицины населению Республики Казахстан</w:t>
      </w:r>
      <w:r>
        <w:br/>
      </w:r>
      <w:r>
        <w:rPr>
          <w:rFonts w:hint="default" w:ascii="Times New Roman" w:hAnsi="Times New Roman"/>
          <w:b/>
          <w:i w:val="false"/>
          <w:color w:val="000000"/>
          <w:sz w:val="24"/>
        </w:rPr>
        <w:t>
 Приказ Министра здравоохранения Республики Казахстан от 10 января 2023 года № 6.</w:t>
      </w:r>
      <w:r>
        <w:br/>
      </w:r>
      <w:r>
        <w:rPr>
          <w:rFonts w:hint="default" w:ascii="Times New Roman" w:hAnsi="Times New Roman"/>
          <w:b/>
          <w:i w:val="false"/>
          <w:color w:val="000000"/>
          <w:sz w:val="24"/>
        </w:rPr>
        <w:t>
 Зарегистрирован в Министерстве юстиции Республики Казахстан 11 января 2023 года № 31673 Министерство здравоохранения Республики Казахстан Об утверждении стандарта организации о</w:t>
      </w:r>
    </w:p>
    <w:bookmarkEnd w:id="0"/>
    <w:bookmarkStart w:name="2855888495" w:id="1"/>
    <w:p>
      <w:pPr>
        <w:spacing w:before="120" w:after="120" w:line="240"/>
        <w:ind w:left="0"/>
        <w:jc w:val="both"/>
      </w:pPr>
      <w:r>
        <w:rPr>
          <w:rFonts w:hint="default" w:ascii="Times New Roman" w:hAnsi="Times New Roman"/>
          <w:b w:val="false"/>
          <w:i w:val="false"/>
          <w:color w:val="000000"/>
          <w:sz w:val="24"/>
        </w:rPr>
        <w:t xml:space="preserve">В соответствии с подпунктом 32) статьи 7 Кодекса Республики Казахстан «О здоровье народа и системе здравоохранения» </w:t>
      </w:r>
      <w:r>
        <w:rPr>
          <w:rFonts w:hint="default" w:ascii="Times New Roman" w:hAnsi="Times New Roman"/>
          <w:b/>
          <w:i w:val="false"/>
          <w:color w:val="000000"/>
          <w:sz w:val="24"/>
        </w:rPr>
        <w:t>ПРИКАЗЫВАЮ:</w:t>
      </w:r>
    </w:p>
    <w:bookmarkEnd w:id="1"/>
    <w:bookmarkStart w:name="2855888496"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Утвердить стандарт организации оказания медицинской помощи в области ядерной медицины населению Республики Казахстан согласно приложению к настоящему приказу.</w:t>
      </w:r>
    </w:p>
    <w:bookmarkEnd w:id="2"/>
    <w:bookmarkStart w:name="2855888497" w:id="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Департаменту организации медицинской помощи Министерства здравоохранения Республики Казахстан в установленном законодательством порядке Республики Казахстан обеспечить:</w:t>
      </w:r>
    </w:p>
    <w:bookmarkEnd w:id="3"/>
    <w:bookmarkStart w:name="2855888498"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государственную регистрацию настоящего приказа в Министерстве юстиции Республики Казахстан;</w:t>
      </w:r>
    </w:p>
    <w:bookmarkEnd w:id="4"/>
    <w:bookmarkStart w:name="2855888499"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2855888500"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2855888501"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Контроль за исполнением настоящего приказа возложить на курирующего вице-министра здравоохранения Республики Казахстан.</w:t>
      </w:r>
    </w:p>
    <w:bookmarkEnd w:id="7"/>
    <w:bookmarkStart w:name="2855888502"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Настоящий приказ вводится в действие по истечении десяти календарных дней после дня его первого официального опубликования.</w:t>
      </w:r>
    </w:p>
    <w:bookmarkEnd w:id="8"/>
    <w:bookmarkStart w:name="2855888503"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Министр здравоохранения Республики Казахстан А. Ғиният</w:t>
      </w:r>
    </w:p>
    <w:bookmarkEnd w:id="9"/>
    <w:bookmarkStart w:name="2855888505"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«СОГЛАСОВАН»</w:t>
      </w:r>
      <w:r>
        <w:br/>
      </w:r>
      <w:r>
        <w:rPr>
          <w:rFonts w:hint="default" w:ascii="Times New Roman" w:hAnsi="Times New Roman"/>
          <w:b w:val="false"/>
          <w:i w:val="false"/>
          <w:color w:val="000000"/>
          <w:sz w:val="24"/>
        </w:rPr>
        <w:t>
 Министерство энергетики</w:t>
      </w:r>
      <w:r>
        <w:br/>
      </w:r>
      <w:r>
        <w:rPr>
          <w:rFonts w:hint="default" w:ascii="Times New Roman" w:hAnsi="Times New Roman"/>
          <w:b w:val="false"/>
          <w:i w:val="false"/>
          <w:color w:val="000000"/>
          <w:sz w:val="24"/>
        </w:rPr>
        <w:t>
 Республики Казахстан</w:t>
      </w:r>
      <w:r>
        <w:br/>
      </w:r>
      <w:r>
        <w:rPr>
          <w:rFonts w:hint="default" w:ascii="Times New Roman" w:hAnsi="Times New Roman"/>
          <w:b w:val="false"/>
          <w:i w:val="false"/>
          <w:color w:val="000000"/>
          <w:sz w:val="24"/>
        </w:rPr>
        <w:t>
</w:t>
      </w:r>
    </w:p>
    <w:bookmarkEnd w:id="10"/>
    <w:bookmarkStart w:name="2855888508" w:id="11"/>
    <w:p>
      <w:pPr>
        <w:spacing w:before="120" w:after="120" w:line="240"/>
        <w:ind w:left="0"/>
        <w:jc w:val="right"/>
      </w:pPr>
      <w:r>
        <w:rPr>
          <w:rFonts w:hint="default" w:ascii="Times New Roman" w:hAnsi="Times New Roman"/>
          <w:b/>
          <w:i w:val="false"/>
          <w:color w:val="000000"/>
          <w:sz w:val="24"/>
        </w:rPr>
        <w:t>Приложение к приказу</w:t>
      </w:r>
      <w:r>
        <w:br/>
      </w:r>
      <w:r>
        <w:rPr>
          <w:rFonts w:hint="default" w:ascii="Times New Roman" w:hAnsi="Times New Roman"/>
          <w:b/>
          <w:i w:val="false"/>
          <w:color w:val="000000"/>
          <w:sz w:val="24"/>
        </w:rPr>
        <w:t>
 Министр здравоохранения</w:t>
      </w:r>
      <w:r>
        <w:br/>
      </w:r>
      <w:r>
        <w:rPr>
          <w:rFonts w:hint="default" w:ascii="Times New Roman" w:hAnsi="Times New Roman"/>
          <w:b/>
          <w:i w:val="false"/>
          <w:color w:val="000000"/>
          <w:sz w:val="24"/>
        </w:rPr>
        <w:t>
 Республики Казахстан</w:t>
      </w:r>
      <w:r>
        <w:br/>
      </w:r>
      <w:r>
        <w:rPr>
          <w:rFonts w:hint="default" w:ascii="Times New Roman" w:hAnsi="Times New Roman"/>
          <w:b/>
          <w:i w:val="false"/>
          <w:color w:val="000000"/>
          <w:sz w:val="24"/>
        </w:rPr>
        <w:t>
 от 10 января 2023 года</w:t>
      </w:r>
      <w:r>
        <w:br/>
      </w:r>
      <w:r>
        <w:rPr>
          <w:rFonts w:hint="default" w:ascii="Times New Roman" w:hAnsi="Times New Roman"/>
          <w:b/>
          <w:i w:val="false"/>
          <w:color w:val="000000"/>
          <w:sz w:val="24"/>
        </w:rPr>
        <w:t>
 № 6</w:t>
      </w:r>
    </w:p>
    <w:bookmarkEnd w:id="11"/>
    <w:bookmarkStart w:name="2855888513" w:id="12"/>
    <w:p>
      <w:pPr>
        <w:spacing w:before="120" w:after="120" w:line="240"/>
        <w:ind w:left="0"/>
        <w:jc w:val="center"/>
      </w:pPr>
      <w:r>
        <w:rPr>
          <w:rFonts w:hint="default" w:ascii="Times New Roman" w:hAnsi="Times New Roman"/>
          <w:b/>
          <w:i w:val="false"/>
          <w:color w:val="000000"/>
          <w:sz w:val="24"/>
        </w:rPr>
        <w:t>Стандарт организации оказания медицинской помощи в области ядерной медицины населению Республики Казахстан</w:t>
      </w:r>
    </w:p>
    <w:bookmarkEnd w:id="12"/>
    <w:bookmarkStart w:name="2855888514" w:id="13"/>
    <w:p>
      <w:pPr>
        <w:spacing w:before="120" w:after="120" w:line="240"/>
        <w:ind w:left="0"/>
        <w:jc w:val="center"/>
      </w:pPr>
      <w:r>
        <w:rPr>
          <w:rFonts w:hint="default" w:ascii="Times New Roman" w:hAnsi="Times New Roman"/>
          <w:b/>
          <w:i w:val="false"/>
          <w:color w:val="000000"/>
          <w:sz w:val="24"/>
        </w:rPr>
        <w:t>Глава 1. Общие положения</w:t>
      </w:r>
    </w:p>
    <w:bookmarkEnd w:id="13"/>
    <w:bookmarkStart w:name="2855888515"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Настоящий Стандарт организации оказания медицинской помощи в области ядерной медицины населению Республики Казахстан (далее – Стандарт) разработан в соответствии с подпунктом 32) статьи 7 и статьей 138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помощи в области ядерной медицины населению Республики Казахстан.</w:t>
      </w:r>
    </w:p>
    <w:bookmarkEnd w:id="14"/>
    <w:bookmarkStart w:name="2855888516"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настоящем Стандарте используются следующие понятия:</w:t>
      </w:r>
    </w:p>
    <w:bookmarkEnd w:id="15"/>
    <w:bookmarkStart w:name="2855888517"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«активная» палата – специализированное помещение для госпитализации пациента с введенными в организм терапевтическими радиофармацевтическими лекарственными препаратами;</w:t>
      </w:r>
    </w:p>
    <w:bookmarkEnd w:id="16"/>
    <w:bookmarkStart w:name="2855888518"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однофотонная эмиссионная компьютерная томография (далее – ОФЭКТ) – диагностическая процедура визуализации пространственного распределения РФЛП в теле пациента по гамма-излучению, выполняемая на гамма-камере с одной или несколькими вращающимися вокруг тела пациента детекторными головками;</w:t>
      </w:r>
    </w:p>
    <w:bookmarkEnd w:id="17"/>
    <w:bookmarkStart w:name="2855888519"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дозиметр – устройство для измерений дозы или мощности дозы ионизирующего излучения;</w:t>
      </w:r>
    </w:p>
    <w:bookmarkEnd w:id="18"/>
    <w:bookmarkStart w:name="2855888520"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средство индивидуальной защиты в области ядерной медицины – средство защиты персонала от внешнего облучения, поступления радиоактивных веществ внутрь организма и радиоактивного загрязнения кожных покровов;</w:t>
      </w:r>
    </w:p>
    <w:bookmarkEnd w:id="19"/>
    <w:bookmarkStart w:name="2855888521"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изотопы – нуклиды, имеющие одинаковое количество протонов, но различное количество нейтронов;</w:t>
      </w:r>
    </w:p>
    <w:bookmarkEnd w:id="20"/>
    <w:bookmarkStart w:name="2855888522"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источник ионизирующего излучения (далее –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21"/>
    <w:bookmarkStart w:name="2855888523"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2"/>
    <w:bookmarkStart w:name="2855888524"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персонал в области ядерной медицины – физические лица, постоянно или временно работающие с источниками ионизирующего излучения (группа А) или находящиеся по условиям труда в сфере их воздействия (группа Б);</w:t>
      </w:r>
    </w:p>
    <w:bookmarkEnd w:id="23"/>
    <w:bookmarkStart w:name="2855888525"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позитронная эмиссионная томография (далее – ПЭТ) – диагностическая процедура визуализации пространственного распределения позитронно-излучающего радиофармацевтического лекарственного препарата в теле пациента по аннигиляционному излучению;</w:t>
      </w:r>
    </w:p>
    <w:bookmarkEnd w:id="24"/>
    <w:bookmarkStart w:name="2855888526"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радиационный контроль –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bookmarkEnd w:id="25"/>
    <w:bookmarkStart w:name="2855888527"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радиоизотопная (радионуклидная) диагностика (далее – РНД) –лучевое исследование, основанное на использовании радиоактивных изотопов или соединений, меченных радионуклидами, радиофармацевтического лекарственного препарата;</w:t>
      </w:r>
    </w:p>
    <w:bookmarkEnd w:id="26"/>
    <w:bookmarkStart w:name="2855888528"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27"/>
    <w:bookmarkStart w:name="2855888529"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активность радионуклидов – количество происходящих в радионуклидном источнике радиоактивных распадов в единицу времени, измеряемая в мегабеккерелях (далее – МБк) и гигабеккерелях (далее – ГБк);</w:t>
      </w:r>
    </w:p>
    <w:bookmarkEnd w:id="28"/>
    <w:bookmarkStart w:name="2855888530"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радионуклидная терапия (далее – РНТ) – введение радиофармацевтического лекарственного препарата, который с помощью обмена веществ переносится к пораженному органу или ткани, эффект лечения основывается на местном радиоактивном излучении препарата;</w:t>
      </w:r>
    </w:p>
    <w:bookmarkEnd w:id="29"/>
    <w:bookmarkStart w:name="2855888531"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радиофармацевтический лекарственный препарат (далее - РФЛП)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30"/>
    <w:bookmarkStart w:name="2855888532"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контроль качества – система организационных мероприятий, технических средств и технологических процедур для количественного определения, мониторинга и поддержания на оптимальных уровнях рабочих характеристик радиодиагностической аппаратуры и режимов радиодиагностических исследований, а также параметров качества радиофармацевтического лекарственного препарата;</w:t>
      </w:r>
    </w:p>
    <w:bookmarkEnd w:id="31"/>
    <w:bookmarkStart w:name="2855888533"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система сбора и хранения жидких радиоактивных отходов – совокупность помещений подразделения радионуклидной терапии для размещения аппаратуры и оборудования, предназначенных для накопления, выдержки на распад и (или) физико-химической очистки и последующего удаления жидких радиоактивных отходов, поступающих из «активных» палат и рабочих помещений подразделения радионуклидной терапии;</w:t>
      </w:r>
    </w:p>
    <w:bookmarkEnd w:id="32"/>
    <w:bookmarkStart w:name="2855888534"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«чистые» помещения – помещения, в которых счетная концентрация аэрозольных частиц и концентрация жизнеспособных микроорганизмов в воздушной среде поддерживается в пределах, не выше заданных в соответствии с требованиями нормативной документации;</w:t>
      </w:r>
    </w:p>
    <w:bookmarkEnd w:id="33"/>
    <w:bookmarkStart w:name="2855888535"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горячая камера – защитное устройство для работы с высокоактивными радиоактивными веществами;</w:t>
      </w:r>
    </w:p>
    <w:bookmarkEnd w:id="34"/>
    <w:bookmarkStart w:name="2855888536"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35"/>
    <w:bookmarkStart w:name="2855888537"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циклотрон – аппарат для циклического ускорения заряженных частиц (протонов, дейтронов) посредством электромагнитного поля. В ядерной медицине используется для наработки радионуклидов, в том числе и позитронно-излучающих радионуклидов;</w:t>
      </w:r>
    </w:p>
    <w:bookmarkEnd w:id="36"/>
    <w:bookmarkStart w:name="2855888538"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радионуклидные вещества и ионизирующее излучение.</w:t>
      </w:r>
    </w:p>
    <w:bookmarkEnd w:id="37"/>
    <w:bookmarkStart w:name="2855888539"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Медицинская помощь с применением методов ядерной медицины в амбулаторных, стационарозамещающих, стационарных условиях оказывается в плановой форме медицинскими организациями, имеющими лицензии:</w:t>
      </w:r>
    </w:p>
    <w:bookmarkEnd w:id="38"/>
    <w:bookmarkStart w:name="2855888540"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медицинскую деятельность (по подвидам: амбулаторно-поликлиническая помощь взрослому и (или) детскому населению, стационарная помощь и (или) стационарозамещающая помощь взрослому и (или) детскому населению);</w:t>
      </w:r>
    </w:p>
    <w:bookmarkEnd w:id="39"/>
    <w:bookmarkStart w:name="2855888541"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обращение с приборами и установками, генерирующими ионизирующее излучение;</w:t>
      </w:r>
    </w:p>
    <w:bookmarkEnd w:id="40"/>
    <w:bookmarkStart w:name="2855888542"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обращение с радиоактивными веществами, приборами и установками, содержащими радиоактивные вещества;</w:t>
      </w:r>
    </w:p>
    <w:bookmarkEnd w:id="41"/>
    <w:bookmarkStart w:name="2855888543"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выполнение работ, связанных с этапами жизненного цикла объектов использования атомной энергии (при наличии РНТ);</w:t>
      </w:r>
    </w:p>
    <w:bookmarkEnd w:id="42"/>
    <w:bookmarkStart w:name="2855888544"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фармацевтическую деятельность (при наличии производства РФЛП).</w:t>
      </w:r>
    </w:p>
    <w:bookmarkEnd w:id="43"/>
    <w:bookmarkStart w:name="2855888545" w:id="44"/>
    <w:p>
      <w:pPr>
        <w:spacing w:before="120" w:after="120" w:line="240"/>
        <w:ind w:left="0"/>
        <w:jc w:val="center"/>
      </w:pPr>
      <w:r>
        <w:rPr>
          <w:rFonts w:hint="default" w:ascii="Times New Roman" w:hAnsi="Times New Roman"/>
          <w:b/>
          <w:i w:val="false"/>
          <w:color w:val="000000"/>
          <w:sz w:val="24"/>
        </w:rPr>
        <w:t>Глава 2. Структура организаций, оказывающих медицинскую помощь в области ядерной медицины</w:t>
      </w:r>
    </w:p>
    <w:bookmarkEnd w:id="44"/>
    <w:bookmarkStart w:name="2855888546"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Центр ядерной медицины (далее – Центр) –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bookmarkEnd w:id="45"/>
    <w:bookmarkStart w:name="2855888547"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Структура Центра, в зависимости от возложенных на него функций, включает:</w:t>
      </w:r>
    </w:p>
    <w:bookmarkEnd w:id="46"/>
    <w:bookmarkStart w:name="2855888548"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отделение производства и контроля качества РФЛП;</w:t>
      </w:r>
    </w:p>
    <w:bookmarkEnd w:id="47"/>
    <w:bookmarkStart w:name="2855888549"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отделение РНД;</w:t>
      </w:r>
    </w:p>
    <w:bookmarkEnd w:id="48"/>
    <w:bookmarkStart w:name="2855888550"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отделение РНТ;</w:t>
      </w:r>
    </w:p>
    <w:bookmarkEnd w:id="49"/>
    <w:bookmarkStart w:name="2855888551"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отделение радиационной безопасности и медицинской физики;</w:t>
      </w:r>
    </w:p>
    <w:bookmarkEnd w:id="50"/>
    <w:bookmarkStart w:name="2855888552"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отделение инженерно-технического обеспечения.</w:t>
      </w:r>
    </w:p>
    <w:bookmarkEnd w:id="51"/>
    <w:bookmarkStart w:name="2855888553"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Персонал группы А и Б Центра формируется в соответствии с Персоналом группы А и Б организаций, оказывающих медицинскую помощь в области ядерной медицины согласно приложению 1 к настоящему Стандарту.</w:t>
      </w:r>
    </w:p>
    <w:bookmarkEnd w:id="52"/>
    <w:bookmarkStart w:name="2855888554"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Отделения РНД имеют в составе не менее 1 позитронно-эмиссионного томографа, совмещенного с компьютерным томографом (далее – ПЭТ/КТ) или 1 позитронно-эмиссионного томографа, совмещенного с магнитно-резонансным томографом (далее – ПЭТ/МРТ), 1 однофотонного эмиссионного компьютерного томографа (ОФЭКТ) или ОФЭКТ, совмещенного с компьютерным томографом (далее – ОФЭКТ/КТ).</w:t>
      </w:r>
    </w:p>
    <w:bookmarkEnd w:id="53"/>
    <w:bookmarkStart w:name="2855888555"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Для проведения РНТ необходимо наличие «активных» палат.</w:t>
      </w:r>
    </w:p>
    <w:bookmarkEnd w:id="54"/>
    <w:bookmarkStart w:name="2855888556"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Отделения производства и контроля качества РФЛП, РНД и РНТ располагают отдельно от помещений, где не используются радиоактивные вещества с расчетом стационарной радиационной защиты (стены, ограждения, перекрытия, указаны возможные аварии и сценарии реагирования на них, рабочих мест персонала и пациентов) в соответствии с нормативными правовыми актами в сфере санитарно-эпидемиологического благополучия населения (согласно санитарным правилам и гигиеническим нормативам), утверждаемыми согласно подпункту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(далее Положение).</w:t>
      </w:r>
    </w:p>
    <w:bookmarkEnd w:id="55"/>
    <w:bookmarkStart w:name="2855888557" w:id="56"/>
    <w:p>
      <w:pPr>
        <w:spacing w:before="120" w:after="120" w:line="240"/>
        <w:ind w:left="0"/>
        <w:jc w:val="center"/>
      </w:pPr>
      <w:r>
        <w:rPr>
          <w:rFonts w:hint="default" w:ascii="Times New Roman" w:hAnsi="Times New Roman"/>
          <w:b/>
          <w:i w:val="false"/>
          <w:color w:val="000000"/>
          <w:sz w:val="24"/>
        </w:rPr>
        <w:t>Глава 3. Основные задачи и направления деятельности организаций, оказывающих медицинскую помощь в области ядерной медицины</w:t>
      </w:r>
    </w:p>
    <w:bookmarkEnd w:id="56"/>
    <w:bookmarkStart w:name="2855888558"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Основными задачами и направлениями деятельности организаций, оказывающих медицинскую помощь в области ядерной медицины, являются:</w:t>
      </w:r>
    </w:p>
    <w:bookmarkEnd w:id="57"/>
    <w:bookmarkStart w:name="2855888559"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bookmarkEnd w:id="58"/>
    <w:bookmarkStart w:name="2855888560"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проведение радиоизотопных (радионуклидных) методов исследования;</w:t>
      </w:r>
    </w:p>
    <w:bookmarkEnd w:id="59"/>
    <w:bookmarkStart w:name="2855888561"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проведение РНТ с применением РФЛП;</w:t>
      </w:r>
    </w:p>
    <w:bookmarkEnd w:id="60"/>
    <w:bookmarkStart w:name="2855888562"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bookmarkEnd w:id="61"/>
    <w:bookmarkStart w:name="2855888563"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обеспечение удовлетворенности пациентов уровнем и качеством оказания медицинской помощи;</w:t>
      </w:r>
    </w:p>
    <w:bookmarkEnd w:id="62"/>
    <w:bookmarkStart w:name="2855888564"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разработка, освоение и внедрение в практику современных инновационных методов РНД и РНТ;</w:t>
      </w:r>
    </w:p>
    <w:bookmarkEnd w:id="63"/>
    <w:bookmarkStart w:name="2855888565"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разработка, освоение и внедрение в производство новых РФЛП;</w:t>
      </w:r>
    </w:p>
    <w:bookmarkEnd w:id="64"/>
    <w:bookmarkStart w:name="2855888566"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bookmarkEnd w:id="65"/>
    <w:bookmarkStart w:name="2855888567"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обучение в резидентуре по вопросам ядерной медицины;</w:t>
      </w:r>
    </w:p>
    <w:bookmarkEnd w:id="66"/>
    <w:bookmarkStart w:name="2855888568"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участие в разработке нормативных правовых актов, стандартов, инструкций, рекомендаций в области ядерной медицины;</w:t>
      </w:r>
    </w:p>
    <w:bookmarkEnd w:id="67"/>
    <w:bookmarkStart w:name="2855888569"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осуществление организационно-методической, консультативной помощи организациям здравоохранения по вопросам ядерной медицины;</w:t>
      </w:r>
    </w:p>
    <w:bookmarkEnd w:id="68"/>
    <w:bookmarkStart w:name="2855888570"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проведение консультаций при планировании центров ядерной медицины.</w:t>
      </w:r>
    </w:p>
    <w:bookmarkEnd w:id="69"/>
    <w:bookmarkStart w:name="2855888571" w:id="70"/>
    <w:p>
      <w:pPr>
        <w:spacing w:before="120" w:after="120" w:line="240"/>
        <w:ind w:left="0"/>
        <w:jc w:val="center"/>
      </w:pPr>
      <w:r>
        <w:rPr>
          <w:rFonts w:hint="default" w:ascii="Times New Roman" w:hAnsi="Times New Roman"/>
          <w:b/>
          <w:i w:val="false"/>
          <w:color w:val="000000"/>
          <w:sz w:val="24"/>
        </w:rPr>
        <w:t>Глава 4. Порядок оказания медицинской помощи в области ядерной медицины в амбулаторных, стационарзамещающих, стационарных условиях</w:t>
      </w:r>
    </w:p>
    <w:bookmarkEnd w:id="70"/>
    <w:bookmarkStart w:name="2855888572"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Медицинская помощь с применением методов ядерной медицины оказывается в рамках гарантированного объема бесплатной медицинской помощи, добровольного медицинского страхования и на платной основе.</w:t>
      </w:r>
    </w:p>
    <w:bookmarkEnd w:id="71"/>
    <w:bookmarkStart w:name="2855888573"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Специализированная медицинская помощь в области ядерной медицины оказывается в амбулаторных, стационарозамещающих, стационарных условиях в плановой форме:</w:t>
      </w:r>
    </w:p>
    <w:bookmarkEnd w:id="72"/>
    <w:bookmarkStart w:name="2855888574"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амбулаторных условиях, не предусматривающих круглосуточного медицинского наблюдения и лечения;</w:t>
      </w:r>
    </w:p>
    <w:bookmarkEnd w:id="73"/>
    <w:bookmarkStart w:name="2855888575"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74"/>
    <w:bookmarkStart w:name="2855888576"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bookmarkEnd w:id="75"/>
    <w:bookmarkStart w:name="2855888577"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Пациенты направляются на проведение ПЭТ/КТ, ПЭТ/МРТ, ОФЭКТ, ОФЭКТ/КТ исследования в отделение РНД профильными специалистами по формам согласно приложению 2 к настоящему Стандарту.</w:t>
      </w:r>
    </w:p>
    <w:bookmarkEnd w:id="76"/>
    <w:bookmarkStart w:name="2855888578"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Проведение радиоизотопных (радионуклидных) исследований осуществляется в соответствии с клиническими протоколами, документированными процедурами, применяемого конкретного диагностического метода, при обязательном соблюдении мер радиационной безопасности пациента и персонала по показаниям согласно приложениям 3 и 4 настоящему Стандарту.</w:t>
      </w:r>
    </w:p>
    <w:bookmarkEnd w:id="77"/>
    <w:bookmarkStart w:name="2855888579"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Перед прохождением радиоизотопного (радионуклидного) исследования пациент подписывает информированное согласие на проведение радиоизотопного (радионуклидного) исследования с указанием активности используемого РФЛП по формам согласно приложению 5 к настоящему Стандарту, после чего проходит осмотр врачом и медицинской сестрой.</w:t>
      </w:r>
    </w:p>
    <w:bookmarkEnd w:id="78"/>
    <w:bookmarkStart w:name="2855888580"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После завершения радиоизотопного (радионуклидного) исследования персоналом отделения радиационной безопасности и медицинской физики проводится дозиметрический контроль пациента.</w:t>
      </w:r>
    </w:p>
    <w:bookmarkEnd w:id="79"/>
    <w:bookmarkStart w:name="2855888581"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Врачом ядерной медицины после завершения диагностической процедуры проводится интерпретация результатов исследования.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bookmarkEnd w:id="80"/>
    <w:bookmarkStart w:name="2855888582"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В отделение РНТ пациенты направляются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согласно приложению 6 к настоящему Стандарту.</w:t>
      </w:r>
    </w:p>
    <w:bookmarkEnd w:id="81"/>
    <w:bookmarkStart w:name="2855888583"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согласно приказу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врачебной консультативной комиссией медицинской организации при неонкологических заболеваниях согласно приказу Министра здравоохранения Республики Казахстан от 7 апреля 2022 года № ҚР ДСМ-34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bookmarkEnd w:id="82"/>
    <w:bookmarkStart w:name="2855888584"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Маршрут пациентов в отделении РНД и РНТ осуществляется согласно приложениям 7 и 8 к настоящему Стандарту.</w:t>
      </w:r>
    </w:p>
    <w:bookmarkEnd w:id="83"/>
    <w:bookmarkStart w:name="2855888585"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РНТ в стационарных условиях проводится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bookmarkEnd w:id="84"/>
    <w:bookmarkStart w:name="2855888586"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С целью обеспечения радиационной безопасности проводится частичная и полная дезактивация «активной» зоны, включая палаты и пост медицинской сестры.</w:t>
      </w:r>
    </w:p>
    <w:bookmarkEnd w:id="85"/>
    <w:bookmarkStart w:name="2855888587"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Частичную дезактивацию проводят младший медицинский персонал каждые 3 (три) часа путем влажной уборки моющими растворами поверхности пола и ручки дверей (кроме «активной» палаты в период нахождения в ней пациента).</w:t>
      </w:r>
    </w:p>
    <w:bookmarkEnd w:id="86"/>
    <w:bookmarkStart w:name="2855888588"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Полную дезактивацию помещений проводят средний (пост, процедурный кабинет) и младший медицинский персонал (палаты, технические помещения) после проведения дозиметрического контроля твердых (постельное белье, одежда пациента и бытовые отходы от пациента) радиоактивных отходов и переноса в хранилище для твердых радиоактивных отходов на следующий день после выписки пациентов путем влажной уборки поверхности пола, потолка, стен, включая «активную» палату.</w:t>
      </w:r>
    </w:p>
    <w:bookmarkEnd w:id="87"/>
    <w:bookmarkStart w:name="2855888589"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окончании дезактивации инженер по радиационной безопасности (дозиметрист) делает замеры на наличие радиоактивного загрязнения бета-излучения дозиметром-радиометром.</w:t>
      </w:r>
    </w:p>
    <w:bookmarkEnd w:id="88"/>
    <w:bookmarkStart w:name="2855888590"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Проведение работ с открытым источником ионизиующего излучения при РНТ приводит к образованию твердых и жидких радиоактивных отходов.</w:t>
      </w:r>
    </w:p>
    <w:bookmarkEnd w:id="89"/>
    <w:bookmarkStart w:name="2855888591"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Плановая госпитализация в отделение РНТ осуществляется согласно порядку, утвержденному уполномоченным органом в соответствии с пунктом 1 статьи 10 Закона Республики Казахстан «О государственных услугах».</w:t>
      </w:r>
    </w:p>
    <w:bookmarkEnd w:id="90"/>
    <w:bookmarkStart w:name="2855888592"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протяжении всего этапа лечения, пациенты находятся в специализированно оборудованных «активных» палатах, оснащенных канализацией и автономной системой вентиляции, которые позволяют избежать распространения радиоактивных изотопов. Ежедневно, в палате проводится измерение уровня радиоактивности при помощи дозиметра. Когда показания мощность эквивалентной дозы (микрозиверт в час) на расстоянии 1 метра от поверхности тела и активность радионуклидов в теле взрослого пациента снижаются до допустимых уровней основных пределов доз, согласно приложению 8 приказа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пациенту разрешают сменить одежду, принять душ и выйти из палаты.</w:t>
      </w:r>
    </w:p>
    <w:bookmarkEnd w:id="91"/>
    <w:bookmarkStart w:name="2855888593"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 целью радиационной безопасности на период госпитализации на одного пациента рассчитывается два комплекта постельного белья, два комплекта одежды (халат, в зависимости от пола пациент пижама или ночная сорочка, одноразовые тапочки). Первый комплект выдается при поступлении, второй комплект перед выходом из палаты для проведения диагностического исследования. Выдачу одежды, тапочек, порядок уничтожения, контроль над количеством одежды и тапочек осуществляет сестра-хозяйка отделения в соответствии с документированными процедурами.</w:t>
      </w:r>
    </w:p>
    <w:bookmarkEnd w:id="92"/>
    <w:bookmarkStart w:name="2855888594"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 выходом из активной палаты пациент надевает бахилы и моет с мылом руки, лицо и шею для исключения фоновых физиологических накоплений остатков изотопа и внешнего загрязнения, Инженер по радиационной безопасности (дозиметрист) фиксирует радиационный фон от пациента.</w:t>
      </w:r>
    </w:p>
    <w:bookmarkEnd w:id="93"/>
    <w:bookmarkStart w:name="2855888595"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Пищевые отходы от пациентов из «активных» палат собираются в металлические контейнеры, проводится их дозиметрический контроль инженером по радиационной безопасности (дозиметрист). Пищевые отходы утилизируются сразу или в контейнере доставляются в хранилище твердых радиоактивных отходов младшим медицинским персоналом отделения РНТ.</w:t>
      </w:r>
    </w:p>
    <w:bookmarkEnd w:id="94"/>
    <w:bookmarkStart w:name="2855888596"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Уход за тяжелыми пациентами, которым введен РФЛП, осуществляет медицинский персонал группы А.</w:t>
      </w:r>
    </w:p>
    <w:bookmarkEnd w:id="95"/>
    <w:bookmarkStart w:name="2855888597"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При выписке из отделения РНТ пациент сдает радиоактивно загрязненную одежду и обувь младшему медицинскому персоналу отделения РНТ в пластиковых мешках, проходит санитарную обработку с принятием душа в санитарном пропускнике для пациентов, надевает собственное белье и верхнюю одежду, после чего в пункте радиационного контроля для пациентов проходит процедуру определения мощности эквивалентной дозы гамма-излучения. Активность радионуклидов в теле взрослого пациента после радиойодтерапии – 0,4 ГБк и мощность эквивалентной дозы на расстоянии 1 метр от поверхности тела – 20 микрозиверт в час (далее-мкЗв/ч).</w:t>
      </w:r>
    </w:p>
    <w:bookmarkEnd w:id="96"/>
    <w:bookmarkStart w:name="2855888598"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При летальном исходе, труп пациента с введенным РФЛП доставляется из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 в установленном порядке.</w:t>
      </w:r>
    </w:p>
    <w:bookmarkEnd w:id="97"/>
    <w:bookmarkStart w:name="2855888599"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bookmarkEnd w:id="98"/>
    <w:bookmarkStart w:name="2855888600"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Радиационный контроль в отделении РНТ включает:</w:t>
      </w:r>
    </w:p>
    <w:bookmarkEnd w:id="99"/>
    <w:bookmarkStart w:name="2855888601"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индивидуальный дозиметрический контроль внешнего облучения персонала;</w:t>
      </w:r>
    </w:p>
    <w:bookmarkEnd w:id="100"/>
    <w:bookmarkStart w:name="2855888602"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индивидуальный радиометрический контроль уровня внутреннего облучения персонала;</w:t>
      </w:r>
    </w:p>
    <w:bookmarkEnd w:id="101"/>
    <w:bookmarkStart w:name="2855888603"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 уровней радиоактивного загрязнения рабочих поверхностей, одежды и кожных покровов;</w:t>
      </w:r>
    </w:p>
    <w:bookmarkEnd w:id="102"/>
    <w:bookmarkStart w:name="2855888604"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 сбора, хранения и удаления твердых радиоактивных отходов;</w:t>
      </w:r>
    </w:p>
    <w:bookmarkEnd w:id="103"/>
    <w:bookmarkStart w:name="2855888605"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радиометрический контроль жидких радиоактивных отходов в емкостях по сбору и хранению жидких радиоактивных отходов;</w:t>
      </w:r>
    </w:p>
    <w:bookmarkEnd w:id="104"/>
    <w:bookmarkStart w:name="2855888606"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дозиметрический контроль уровней внешнего излучения от пациентов с введенными РФЛП на выходе из подразделения РНТ.</w:t>
      </w:r>
    </w:p>
    <w:bookmarkEnd w:id="105"/>
    <w:bookmarkStart w:name="2855888607"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РНД и РНТ проводятся в медицинских организациях, оснащенных оборудованием дозиметрического контроля и при наличии санитарно-эпидемиологического заключения по форме, утвержденной приказом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и лицензии.</w:t>
      </w:r>
    </w:p>
    <w:bookmarkEnd w:id="106"/>
    <w:bookmarkStart w:name="2855888608"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Планировка и оснащение помещений обеспечивает защиту пациентов, персонала и населения от внешнего облучения, от поступления радионуклидов в помещения и в окружающую среду путем использования системы стационарных (оборудование, стены и перекрытия помещений), нестационарных (контейнеры, экраны) и динамических (вентиляция и канализация) барьеров.</w:t>
      </w:r>
    </w:p>
    <w:bookmarkEnd w:id="107"/>
    <w:bookmarkStart w:name="2855888609"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Отделение производства и контроля качества РФЛП обеспечивает производство и изготовление требуемых РФЛП их контроль качества на соответствие требованиям фармакопейных статей, технических регламентов и надлежащей производственной практики.</w:t>
      </w:r>
    </w:p>
    <w:bookmarkEnd w:id="108"/>
    <w:bookmarkStart w:name="2855888610"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Отделение производства и контроля качества соблюдает требования надлежащей производственной практики при производстве и выпуске РФЛП для реализации в организации согласно пункту 2 статьи 231 Кодекса.</w:t>
      </w:r>
    </w:p>
    <w:bookmarkEnd w:id="109"/>
    <w:bookmarkStart w:name="2855888611"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Отделения производства и контроля качества РФЛП осуществляют:</w:t>
      </w:r>
    </w:p>
    <w:bookmarkEnd w:id="110"/>
    <w:bookmarkStart w:name="2855888612"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наработка изотопов;</w:t>
      </w:r>
    </w:p>
    <w:bookmarkEnd w:id="111"/>
    <w:bookmarkStart w:name="2855888613"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синтез РФЛП;</w:t>
      </w:r>
    </w:p>
    <w:bookmarkEnd w:id="112"/>
    <w:bookmarkStart w:name="2855888614"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фасовка РФЛП;</w:t>
      </w:r>
    </w:p>
    <w:bookmarkEnd w:id="113"/>
    <w:bookmarkStart w:name="2855888615"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 качества произведенных РФЛП;</w:t>
      </w:r>
    </w:p>
    <w:bookmarkEnd w:id="114"/>
    <w:bookmarkStart w:name="2855888616"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обеспечение качества производимых РФЛП в течение всего срока хранения путем принятия надлежащих мер согласно требованиям системы менеджмента качества;</w:t>
      </w:r>
    </w:p>
    <w:bookmarkEnd w:id="115"/>
    <w:bookmarkStart w:name="2855888617"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проведение расчета активности выдаваемых РФЛП согласно приложению 9 к настоящему Стандарту.</w:t>
      </w:r>
    </w:p>
    <w:bookmarkEnd w:id="116"/>
    <w:bookmarkStart w:name="2855888618"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обеспечение радиационной безопасности при выполнении цикла производства, контроля качества и фасовки РФЛП;</w:t>
      </w:r>
    </w:p>
    <w:bookmarkEnd w:id="117"/>
    <w:bookmarkStart w:name="2855888619"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разработка рекомендаций по применению РФЛП в клинической практике;</w:t>
      </w:r>
    </w:p>
    <w:bookmarkEnd w:id="118"/>
    <w:bookmarkStart w:name="2855888620"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разработка проектов нормативных актов, регламентирующих деятельность отделения.</w:t>
      </w:r>
    </w:p>
    <w:bookmarkEnd w:id="119"/>
    <w:bookmarkStart w:name="2855888621"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Порядок работы отделения производства и контроля качества РФЛП состоит из следующих этапов:</w:t>
      </w:r>
    </w:p>
    <w:bookmarkEnd w:id="120"/>
    <w:bookmarkStart w:name="2855888622"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входной контроль качества исходного сырья и материалов (проведение работ на соответствие качества исходных материалов, сырья и упаковки установленным требованиям);</w:t>
      </w:r>
    </w:p>
    <w:bookmarkEnd w:id="121"/>
    <w:bookmarkStart w:name="2855888623"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наработка радиоизотопов в циклотронах или радионуклидных генераторах;</w:t>
      </w:r>
    </w:p>
    <w:bookmarkEnd w:id="122"/>
    <w:bookmarkStart w:name="2855888624"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введение радиоактивной метки в выбранное положение молекулы радиотрейсера, получением стерильной инъекционной формы РФЛП;</w:t>
      </w:r>
    </w:p>
    <w:bookmarkEnd w:id="123"/>
    <w:bookmarkStart w:name="2855888625"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 качества РФЛП на соответствие заявленным характеристикам;</w:t>
      </w:r>
    </w:p>
    <w:bookmarkEnd w:id="124"/>
    <w:bookmarkStart w:name="2855888626"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фасовка РФЛП для использования в отделении радиоизотопной диагностики;</w:t>
      </w:r>
    </w:p>
    <w:bookmarkEnd w:id="125"/>
    <w:bookmarkStart w:name="2855888627"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оформление соответствующей документации всего цикла производства и контроля качества РФЛП;</w:t>
      </w:r>
    </w:p>
    <w:bookmarkEnd w:id="126"/>
    <w:bookmarkStart w:name="2855888628"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выдача сертификата соответствия качества, произведенного РФЛП;</w:t>
      </w:r>
    </w:p>
    <w:bookmarkEnd w:id="127"/>
    <w:bookmarkStart w:name="2855888629"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организация процедуры выпуска продукции.</w:t>
      </w:r>
    </w:p>
    <w:bookmarkEnd w:id="128"/>
    <w:bookmarkStart w:name="2855888630"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Обеспечение качества производимых РФЛП основано на системе менеджмента качества и надлежащей производственной практики, организованной в бумажной или электронной форме, включающей в себя документы, руководства, технические регламенты, документированные процедуры и записи, относящиеся к соответствующим этапам процесса производства и контроля качества РФЛП.</w:t>
      </w:r>
    </w:p>
    <w:bookmarkEnd w:id="129"/>
    <w:bookmarkStart w:name="2855888631"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Отделение радиационной безопасности и медицинской физики осуществляет контроль над соблюдением правил, норм и требований радиационной безопасности, дозами облучения персонала и пациентов, надлежащей работы оборудования, охраны окружающей среды.</w:t>
      </w:r>
    </w:p>
    <w:bookmarkEnd w:id="130"/>
    <w:bookmarkStart w:name="2855888632"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Отделение радиационной безопасности и медицинской физики осуществляет следующие задачи:</w:t>
      </w:r>
    </w:p>
    <w:bookmarkEnd w:id="131"/>
    <w:bookmarkStart w:name="2855888633"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обеспечение безопасными условиями работы с ИИИ, в том числе: надлежащего радиационно-гигиенического состояния радиационной и защитной техники, специального оборудования, систем сигнализации и блокировок;</w:t>
      </w:r>
    </w:p>
    <w:bookmarkEnd w:id="132"/>
    <w:bookmarkStart w:name="2855888634"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обеспечение надлежащего технического состояния диагностического и терапевтического оборудования; доз облучения пациентов от диагностических и терапевтических процедур, технических параметров проведения радиоизотопных (радионуклидных) исследований и процедур РНТ.</w:t>
      </w:r>
    </w:p>
    <w:bookmarkEnd w:id="133"/>
    <w:bookmarkStart w:name="2855888635"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калибровка и контроль качества диагностического оборудования;</w:t>
      </w:r>
    </w:p>
    <w:bookmarkEnd w:id="134"/>
    <w:bookmarkStart w:name="2855888636"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разработка и утверждение протоколов радиоизотопных (радионуклидных) исследований;</w:t>
      </w:r>
    </w:p>
    <w:bookmarkEnd w:id="135"/>
    <w:bookmarkStart w:name="2855888637"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планирование и участие в осуществлении программы РНТ совместно с врачом отделения РНТ;</w:t>
      </w:r>
    </w:p>
    <w:bookmarkEnd w:id="136"/>
    <w:bookmarkStart w:name="2855888638"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разработка и участие в осуществлении программы контроля качества диагностического и терапевтического оборудования;</w:t>
      </w:r>
    </w:p>
    <w:bookmarkEnd w:id="137"/>
    <w:bookmarkStart w:name="2855888639"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доз облучения пациентов от проводимых радиоизотопных исследований и РНТ;</w:t>
      </w:r>
    </w:p>
    <w:bookmarkEnd w:id="138"/>
    <w:bookmarkStart w:name="2855888640"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участие в приемочных испытаниях нового оборудования;</w:t>
      </w:r>
    </w:p>
    <w:bookmarkEnd w:id="139"/>
    <w:bookmarkStart w:name="2855888641"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подготовка нового аппарата к клинической эксплуатации;</w:t>
      </w:r>
    </w:p>
    <w:bookmarkEnd w:id="140"/>
    <w:bookmarkStart w:name="2855888642"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надзор за техническим обслуживанием оборудования РНД и РНТ;</w:t>
      </w:r>
    </w:p>
    <w:bookmarkEnd w:id="141"/>
    <w:bookmarkStart w:name="2855888643"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участие в разработке мер по ликвидации радиационной аварии, оценка эффективности и достаточности принятых мер.</w:t>
      </w:r>
    </w:p>
    <w:bookmarkEnd w:id="142"/>
    <w:bookmarkStart w:name="2855888644"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При организации в Центре отделения производства и контроля качества РФЛП и (или) отделения РНТ формируется отделение инженерно-технического обеспечения.</w:t>
      </w:r>
    </w:p>
    <w:bookmarkEnd w:id="143"/>
    <w:bookmarkStart w:name="2855888645"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Отделение инженерно-технического обеспечения осуществляет следующие задачи:</w:t>
      </w:r>
    </w:p>
    <w:bookmarkEnd w:id="144"/>
    <w:bookmarkStart w:name="2855888646"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обеспечение надлежащего технического состояния инженерно-технических систем, оборудования, помещений, где требуются специальные условия и контроль комплекс «чистых» помещений при производстве РФЛП, специализированная вентиляционная система, специализированная канализация);</w:t>
      </w:r>
    </w:p>
    <w:bookmarkEnd w:id="145"/>
    <w:bookmarkStart w:name="2855888647"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непрерывный контроль систем жизнеобеспечения;</w:t>
      </w:r>
    </w:p>
    <w:bookmarkEnd w:id="146"/>
    <w:bookmarkStart w:name="2855888648"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участие в ликвидации аварий и внештатных ситуаций;</w:t>
      </w:r>
    </w:p>
    <w:bookmarkEnd w:id="147"/>
    <w:bookmarkStart w:name="2855888649"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надзор за техническим обслуживанием инженерных систем и оборудования.</w:t>
      </w:r>
    </w:p>
    <w:bookmarkEnd w:id="148"/>
    <w:bookmarkStart w:name="2855888650"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Центр соответствует техническим и санитарно-эпидемиологическим требованиям по обеспечению радиационной безопасности персонала и населения, с учетом радиационных аварийных ситуаций, категории потенциальной радиационной опасности объекта в соответствии с приказами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(далее – приказ № ҚР ДСМ-275/2020) и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149"/>
    <w:bookmarkStart w:name="2855888651"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Ввод в эксплуатацию Центра включает комплекс организационных, технических и санитарно-эпидемиологических требований по обеспечению радиационной безопасности персонала и населения, а также при радиационной аварии.</w:t>
      </w:r>
    </w:p>
    <w:bookmarkEnd w:id="150"/>
    <w:bookmarkStart w:name="2855888652"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Вывод из эксплуатации Центра или его подразделений принимается на основании проекта, разработанного на этапе планирования и комплексного обследования объекта.</w:t>
      </w:r>
    </w:p>
    <w:bookmarkEnd w:id="151"/>
    <w:bookmarkStart w:name="2855888653"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Структура здания обеспечивает поточность (последовательность) технологических процессов, оптимизацию путей движения основных потоков персонала, пациентов, источников излучения, отходов радиоактивных и медицинских, с целью минимизации их протяженности и удобства пациентов, посетителей и персонала. Пути перемещения материалов (сырья) с высокой степенью эпидемиологической и радиационной опасностью максимально изолируются от остальных путей перемещения.</w:t>
      </w:r>
    </w:p>
    <w:bookmarkEnd w:id="152"/>
    <w:bookmarkStart w:name="2855888654"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Помещения Центра, изготовление, монтаж, наладка, ремонт и сервисное обслуживание радиометрической и дозиметрической аппаратуры, технологического оборудования и средств радиационной защиты осуществляются при наличии разрешений (лицензий) на осуществление указанной деятельности полученных от Комитет атомного и энергетического надзора и контроля Министерства энергетики Республики Казахстан.</w:t>
      </w:r>
    </w:p>
    <w:bookmarkEnd w:id="153"/>
    <w:bookmarkStart w:name="2855888655"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Размещение и инженерно-техническое оборудование помещений, в которых производятся работы с открытым источником ионизиующего излучения, определяются в соответствии с классом работ. Класс работ устанавливается отдельно для каждого помещения.</w:t>
      </w:r>
    </w:p>
    <w:bookmarkEnd w:id="154"/>
    <w:bookmarkStart w:name="2855888656"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Оснащение помещений обеспечивает защиту пациентов, персонала и населения от внешнего облучения, от поступления радионуклидов в помещения и в окружающую среду путем использования системы стационарных (оборудование, стены и перекрытия помещений), нестационарных (контейнеры, экраны) и динамических (вентиляция и канализация) барьеров.</w:t>
      </w:r>
    </w:p>
    <w:bookmarkEnd w:id="155"/>
    <w:bookmarkStart w:name="2855888657"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Производственная часть Центра является изолированной частью корпуса, с отдельным входом для персонала, непосредственно участвующим в производстве РФЛП, исключающей вход пациентов и лиц, не являющихся персоналом.</w:t>
      </w:r>
    </w:p>
    <w:bookmarkEnd w:id="156"/>
    <w:bookmarkStart w:name="2855888658"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Производственная часть Центра соответствует требованиям надлежащей фармацевтической практики, нормам и требованиям радиационной безопасности, утверждаемые согласно подпункту 113 пункта 5 Положения.</w:t>
      </w:r>
    </w:p>
    <w:bookmarkEnd w:id="157"/>
    <w:bookmarkStart w:name="2855888659"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В отделении производства и контроля качества РФЛП размещение циклотрона зависит от его конструкции, мощности, рекомендаций и гарантий производителя. Циклотрон размещается в бункере или каньоне с лабиринтной схемой входа с бетонными стенами и потолочным перекрытием. Для обслуживание циклотрона отводится время выдержки до снижения его активности в перерасчете на допустимую эффетивную дозу персонала в год, в зависимости от затрачиваемого времени на нахождение в зоне облучения.</w:t>
      </w:r>
    </w:p>
    <w:bookmarkEnd w:id="158"/>
    <w:bookmarkStart w:name="2855888660"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Бункер циклотрона и лаборатория синтеза располагаются на непосредственно близком расстоянии друг от друга, помещения связаны скрытыми каналами для размещения линий газовых и жидкостных трубопроводов, пневмопочты и коммуникаций. Помещение, через которое проходят каналы радионуклидов, является зоной строгого контроля, оборудуется дополнительной защитой.</w:t>
      </w:r>
    </w:p>
    <w:bookmarkEnd w:id="159"/>
    <w:bookmarkStart w:name="2855888661"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При реализации производимых РФЛП в сторонние организации, при получении генераторов для изготовления РФЛП, а также для утилизации твердых радиоактивных отходов после распада радионуклидов предусматривается отдельный выход из здания со стальной дверью и под охранной сигнализацией, к которому обеспечивается подъезд с однородным твердым покрытием для специальных грузовых автомашин.</w:t>
      </w:r>
    </w:p>
    <w:bookmarkEnd w:id="160"/>
    <w:bookmarkStart w:name="2855888662"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Все рабочие помещения Центра обеспечиваются аварийным и эвакуационным освещением, а также системой управления ограничением доступа.</w:t>
      </w:r>
    </w:p>
    <w:bookmarkEnd w:id="161"/>
    <w:bookmarkStart w:name="2855888663"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Отделения Центра оснащаются соответствующим медицинским, производственным, аналитическим, вспомогательным и дозиметрическим оборудованием, с учетом его целей и задач.</w:t>
      </w:r>
    </w:p>
    <w:bookmarkEnd w:id="162"/>
    <w:bookmarkStart w:name="2855888664"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В Центре устанавливаются система видеонаблюдения, система мониторинга радиационной безопасности, система контроля «чистых» помещений (при наличии производства), система пожарной сигнализации, медицинская информационная система, система палатной связи, система внутренней связи, система прикладного телевидения, интернет, интеграция к единой локальной сети.</w:t>
      </w:r>
    </w:p>
    <w:bookmarkEnd w:id="163"/>
    <w:bookmarkStart w:name="2855888665"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Работы с открытым источником ионизиующего излучения с удельной и (или) суммарной активностью ниже значений минимально значимой удельной и минимально значимой активности, проводятся в производственных помещениях подразделения РНТ и подразделений Центра, к которым не предъявляются дополнительные требования по радиационной безопасности.</w:t>
      </w:r>
    </w:p>
    <w:bookmarkEnd w:id="164"/>
    <w:bookmarkStart w:name="2855888666"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При наличии в Центре самостоятельного структурного подразделения РНД организуются общие с подразделением РНТ помещения для приема и хранения РФЛП, а также общее хранилище твердых радиоактивных отходов.</w:t>
      </w:r>
    </w:p>
    <w:bookmarkEnd w:id="165"/>
    <w:bookmarkStart w:name="2855888667"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В «активных» палатах - стены, потолок, оборудование и мебель имеют гладкие поверхности, простую конфигурацию и слабо сорбирующие дезактивируемые покрытия.</w:t>
      </w:r>
    </w:p>
    <w:bookmarkEnd w:id="166"/>
    <w:bookmarkStart w:name="2855888668"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В каждой «активной» палате имеется отдельный санузел, с унитазом, умывальником и душевой кабиной. Умывальники в палатах с «активными» койками снабжены кранами-смесителями с локтевым или педальным управлением. Слив воды из умывальников и из душевой кабины производится в специализированную канализацию.</w:t>
      </w:r>
    </w:p>
    <w:bookmarkEnd w:id="167"/>
    <w:bookmarkStart w:name="2855888669"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 В полу санузла каждой палаты с «активными» койками устанавливается трап, соединенный со специализированной канализацией.</w:t>
      </w:r>
    </w:p>
    <w:bookmarkEnd w:id="168"/>
    <w:bookmarkStart w:name="2855888670"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Буфетная зона включает шлюз между буфетной и «чистыми» помещениями.</w:t>
      </w:r>
    </w:p>
    <w:bookmarkEnd w:id="169"/>
    <w:bookmarkStart w:name="2855888671"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 Радиоманипуляционные, моечная и фасовочная оборудуются глубокими раковинами из нержавеющей стали со сливом в специализированную канализацию; трапы в полу этих помещений соединяются со специализированной канализацией.</w:t>
      </w:r>
    </w:p>
    <w:bookmarkEnd w:id="170"/>
    <w:bookmarkStart w:name="2855888672"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Хранилище твердых радиоактивных отходов включает оборудование биологической защиты, рассчитываемой при проектировании. Твердые радиоактивные отходы хранятся в пластикатовых мешках. Объем хранилища обеспечивает прием и хранение радиоактивных отходов с учетом времени выдержки для снижения активности отходов. Для хранения радиоактивных отходов с органическими соединениями (пищевыми отходами из палат с «активных» палат) в хранилище устанавливаются холодильники. Вся площадь хранилища делится на три отдельные зоны для хранения радиоактивных отходов разных категорий по удельной активности.</w:t>
      </w:r>
    </w:p>
    <w:bookmarkEnd w:id="171"/>
    <w:bookmarkStart w:name="2855888673"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Помещение для дневного пребывания амбулаторных пациентов с введенным в организм РФЛП разделяется стационарными защитными экранами на несколько частей из расчета одновременного нахождения в каждой из них одного амбулаторного пациента.</w:t>
      </w:r>
    </w:p>
    <w:bookmarkEnd w:id="172"/>
    <w:bookmarkStart w:name="2855888674"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Радиоактивные сточные воды отделения РНД при использовании ультракороткоживущих РФЛП сбрасываются в бытовую канализацию, если обеспечивается их десятикратное разбавление нерадиоактивными сточными водами в коллекторе данного центра, а суммарный сброс радиоактивных веществ в водоем не превысит установленного уровня допустимого сброса, осуществляемого при обязательном радиационном контроле.</w:t>
      </w:r>
    </w:p>
    <w:bookmarkEnd w:id="173"/>
    <w:bookmarkStart w:name="2855888675"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Штат работников организаций, оказывающих медицинскую помощь в области ядерной медицины, устанавливаются согласно приложению 10 к настоящему Стандарту.</w:t>
      </w:r>
    </w:p>
    <w:bookmarkEnd w:id="174"/>
    <w:bookmarkStart w:name="2855888676"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Оснащение медицинскими изделиями и технологичным оборудованием организаций, оказывающих медицинскую помощь в области ядерной медицины, осуществляется согласно приложению 11 к настоящему Стандарту.</w:t>
      </w:r>
    </w:p>
    <w:bookmarkEnd w:id="175"/>
    <w:bookmarkStart w:name="2855888677" w:id="176"/>
    <w:p>
      <w:pPr>
        <w:spacing w:before="120" w:after="120" w:line="240"/>
        <w:ind w:left="0"/>
        <w:jc w:val="right"/>
      </w:pPr>
      <w:r>
        <w:rPr>
          <w:rFonts w:hint="default" w:ascii="Times New Roman" w:hAnsi="Times New Roman"/>
          <w:b/>
          <w:i w:val="false"/>
          <w:color w:val="000000"/>
          <w:sz w:val="24"/>
        </w:rPr>
        <w:t>Приложение 1</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176"/>
    <w:bookmarkStart w:name="2855888679" w:id="177"/>
    <w:p>
      <w:pPr>
        <w:spacing w:before="120" w:after="120" w:line="240"/>
        <w:ind w:left="0"/>
        <w:jc w:val="both"/>
      </w:pPr>
      <w:r>
        <w:rPr>
          <w:rFonts w:hint="default" w:ascii="Times New Roman" w:hAnsi="Times New Roman"/>
          <w:b/>
          <w:i w:val="false"/>
          <w:color w:val="000000"/>
          <w:sz w:val="24"/>
        </w:rPr>
        <w:t>Персонал группы А и Б организаций, оказывающих медицинскую помощь в области ядерной медицины</w:t>
      </w:r>
    </w:p>
    <w:bookmarkEnd w:id="177"/>
    <w:bookmarkStart w:name="2855888680" w:id="178"/>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98"/>
        <w:gridCol w:w="4104"/>
        <w:gridCol w:w="1938"/>
        <w:gridCol w:w="3756"/>
        <w:gridCol w:w="1764"/>
      </w:tblGrid>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п/п</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Должность</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Персонал*</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Тип источника</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Класс работы**</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Административно-управленческий персонал</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Руководитель центра ядерной медицины</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радиоизотопной (радионуклидной) диагностики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радиоизотопной (радионуклидной) терапии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Главный инженер</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Радиофармпрепараты (далее- РФЛП), Калибровочные источники, генератор радионуклида</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/(комплексом) производства и контроля качества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РФЛП, генератор радионуклида,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(отдела) производства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РФЛП, генератор радионуклида,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(отдела) контроля качества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РФЛП, генератор радионуклида,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(отдела) обеспечения качества по надлежащей производственной практики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РФЛП, генератор радионуклида,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радиационной безопасности и медицинской физики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РФЛП, Калибровочные источники, 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инженерно-технического обеспечения центра ядерной медицины (при организации отделения как отдельного структурного подразделения)</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РФЛП, жидкие радиоактивные отходы (далее -ЖРО),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производства и контроля качества радиофармацевтических лекарственных препаратов</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циклотрона производства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 радионуклид,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Радиохимик-технолог по производству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Радионуклид генератора,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Радиохимик-аналитик по контролю качества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Радионуклид генератора,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Радиофармацевт</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Радионуклид генератора,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Лаборант контроля качества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Микробиолог</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обеспечения качества радиофармацевтических лекарственных препаратов</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Радионуклид генератора,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Старший радиофармацевт</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Радионуклид генератора,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Санитарка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Контакт с твердыми и жидкими радиоактивными отходами, транспортировка РФЛП, уборка помещений в радиоактивной зоне, частичная и полная дезактивация помещений</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радиационной безопасности и медицинской физики</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радиационной безопасности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Калибровочный источник, пациенты, РФЛП, генератор радионуклида, циклотрон, твердые радиоактивные отходы (далее – РАО), ЖРО, аэродисперсный радионуклид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Медицинский физик</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Калибровочный источник, пациенты, РФЛП</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инженерно-технического обеспечения</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обслуживанию вентиляции объектов с открытыми источниками ионизирующего излучения (далее – ИИИ)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Фильтры спецвентиляции отделение радионуклидной терапии («активные» палаты), аэродисперсный радионуклид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обслуживанию систем сбора, хранения и сброса ЖРО</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ЖРО, аэродисперсный радионуклид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обслуживанию технологических и медицинских газов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Инженер-энергетик</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контрольно-измерительных приборов и автоматики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Системный администратор</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Инженер-технолог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системам теплоснабжения, вентиляции и кондиционированию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водоснабжению и водоотведению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Электрик</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Техник контрольно- измерительных приборов и автоматики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Техник по системам теплоснабжения вентиляции и кондиционированию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Техник по водоснабжению и водоотведению в ядерной медицине</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r>
        <w:trPr>
          <w:trHeight w:val="15" w:hRule="atLeast"/>
        </w:trPr>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радиоизотопной (радионуклидной) диагностики</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 радиоизотопной диагностики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Врач-реаниматолог</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Старшая медицинская сестра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сестра отделения радиоизотопной диагностики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РФЛП, твёрдые РАО</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Лаборант радиоизотопной (радионуклидной) диагностики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Регистратор</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Сестра хозяйка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твердые РАО</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Санитарка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твердые РАО</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Персонал отделения радиоизотопной (радионуклидной) терапии</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 радионуклидной терапии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Врач-реаниматолог</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Врач-кардиолог</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Старшая медицинская сестра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Постовая медицинская сестра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сестра процедурного кабинета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РФЛП,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сестра палаты интенсивной терапии</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Сестра-хозяйка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РФЛП,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Санитарка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РФЛП, аэродисперсный радиоактивный йод-131, твердые РАО</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Регистратор</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Буфетчица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Пациенты, аэродисперсный радиоактивный йод-131</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9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410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Прачка</w:t>
            </w:r>
          </w:p>
        </w:tc>
        <w:tc>
          <w:tcPr>
            <w:tcW w:w="193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w:t>
            </w:r>
          </w:p>
        </w:tc>
        <w:tc>
          <w:tcPr>
            <w:tcW w:w="37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работа в сфере воздействия ИИИ</w:t>
            </w:r>
          </w:p>
        </w:tc>
        <w:tc>
          <w:tcPr>
            <w:tcW w:w="176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r>
    </w:tbl>
    <w:bookmarkEnd w:id="178"/>
    <w:bookmarkStart w:name="2855888681"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 работе с источниками излучения допускаются лица не моложе 18 лет, не имеющие медицинских противопоказаний, отнесенные приказом руководителя радиационного объекта к категории персонала группы «А»,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прошедшие инструктаж и проверку знаний по радиационной безопасности.</w:t>
      </w:r>
    </w:p>
    <w:bookmarkEnd w:id="179"/>
    <w:bookmarkStart w:name="2855888682"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В зависимости от суммарной активности Сэ на рабочем месте, приведенной к группе «А», устанавливаются следующие классы работ:</w:t>
      </w:r>
    </w:p>
    <w:bookmarkEnd w:id="180"/>
    <w:bookmarkStart w:name="2855888683"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 класс – Сэ = более 108 Бк;</w:t>
      </w:r>
    </w:p>
    <w:bookmarkEnd w:id="181"/>
    <w:bookmarkStart w:name="2855888684"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II класс – Сэ = от 105 до 108 Бк;</w:t>
      </w:r>
    </w:p>
    <w:bookmarkEnd w:id="182"/>
    <w:bookmarkStart w:name="2855888685"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III класс – Сэ = от 103 до 105 Бк</w:t>
      </w:r>
    </w:p>
    <w:bookmarkEnd w:id="183"/>
    <w:bookmarkStart w:name="2855888686"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Основные пределы доз</w:t>
      </w:r>
    </w:p>
    <w:bookmarkEnd w:id="184"/>
    <w:bookmarkStart w:name="2855888687" w:id="185"/>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17"/>
        <w:gridCol w:w="5258"/>
        <w:gridCol w:w="4085"/>
      </w:tblGrid>
      <w:tr>
        <w:trPr>
          <w:trHeight w:val="15" w:hRule="atLeast"/>
        </w:trPr>
        <w:tc>
          <w:tcPr>
            <w:tcW w:w="3117"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Нормируемые величины</w:t>
            </w: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Пределы доз</w:t>
            </w:r>
          </w:p>
        </w:tc>
      </w:tr>
      <w:tr>
        <w:trPr>
          <w:trHeight w:val="15" w:hRule="atLeast"/>
        </w:trPr>
        <w:tc>
          <w:tcPr>
            <w:tcW w:w="0" w:type="auto"/>
            <w:vMerge/>
            <w:tcBorders>
              <w:top w:val="nil"/>
              <w:left w:val="single" w:color="000000" w:sz="8"/>
              <w:bottom w:val="single" w:color="000000" w:sz="8"/>
              <w:right w:val="single" w:color="000000" w:sz="8"/>
            </w:tcBorders>
          </w:tcPr>
          <w:p/>
        </w:tc>
        <w:tc>
          <w:tcPr>
            <w:tcW w:w="52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Персонал группы А</w:t>
            </w:r>
          </w:p>
        </w:tc>
        <w:tc>
          <w:tcPr>
            <w:tcW w:w="4085"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Население</w:t>
            </w:r>
          </w:p>
        </w:tc>
      </w:tr>
      <w:tr>
        <w:trPr>
          <w:trHeight w:val="15" w:hRule="atLeast"/>
        </w:trPr>
        <w:tc>
          <w:tcPr>
            <w:tcW w:w="3117"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Эффективная доза</w:t>
            </w:r>
          </w:p>
        </w:tc>
        <w:tc>
          <w:tcPr>
            <w:tcW w:w="52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 мЗв в год в среднем за любые последовательные 5 лет, но не более 50 мЗв в год</w:t>
            </w:r>
          </w:p>
        </w:tc>
        <w:tc>
          <w:tcPr>
            <w:tcW w:w="4085"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мЗв в год в среднем за любые</w:t>
            </w:r>
          </w:p>
          <w:p>
            <w:pPr>
              <w:spacing w:after="0"/>
              <w:ind w:left="0"/>
              <w:jc w:val="left"/>
            </w:pPr>
            <w:r>
              <w:rPr>
                <w:rFonts w:hint="default" w:ascii="Times New Roman" w:hAnsi="Times New Roman"/>
                <w:b w:val="false"/>
                <w:i w:val="false"/>
                <w:color w:val="000000"/>
                <w:sz w:val="24"/>
              </w:rPr>
              <w:t>последовательные 5 лет, но не более 5 мЗв в год</w:t>
            </w:r>
          </w:p>
        </w:tc>
      </w:tr>
      <w:tr>
        <w:trPr>
          <w:trHeight w:val="15" w:hRule="atLeast"/>
        </w:trPr>
        <w:tc>
          <w:tcPr>
            <w:tcW w:w="3117"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Эквивалентная доза за год в:</w:t>
            </w:r>
          </w:p>
          <w:p>
            <w:pPr>
              <w:spacing w:after="0"/>
              <w:ind w:left="0"/>
              <w:jc w:val="left"/>
            </w:pPr>
            <w:r>
              <w:rPr>
                <w:rFonts w:hint="default" w:ascii="Times New Roman" w:hAnsi="Times New Roman"/>
                <w:b w:val="false"/>
                <w:i w:val="false"/>
                <w:color w:val="000000"/>
                <w:sz w:val="24"/>
              </w:rPr>
              <w:t>хрусталике глаза</w:t>
            </w:r>
          </w:p>
          <w:p>
            <w:pPr>
              <w:spacing w:after="0"/>
              <w:ind w:left="0"/>
              <w:jc w:val="left"/>
            </w:pPr>
            <w:r>
              <w:rPr>
                <w:rFonts w:hint="default" w:ascii="Times New Roman" w:hAnsi="Times New Roman"/>
                <w:b w:val="false"/>
                <w:i w:val="false"/>
                <w:color w:val="000000"/>
                <w:sz w:val="24"/>
              </w:rPr>
              <w:t>коже</w:t>
            </w:r>
          </w:p>
          <w:p>
            <w:pPr>
              <w:spacing w:after="0"/>
              <w:ind w:left="0"/>
              <w:jc w:val="left"/>
            </w:pPr>
            <w:r>
              <w:rPr>
                <w:rFonts w:hint="default" w:ascii="Times New Roman" w:hAnsi="Times New Roman"/>
                <w:b w:val="false"/>
                <w:i w:val="false"/>
                <w:color w:val="000000"/>
                <w:sz w:val="24"/>
              </w:rPr>
              <w:t>кистях и стопах</w:t>
            </w:r>
          </w:p>
        </w:tc>
        <w:tc>
          <w:tcPr>
            <w:tcW w:w="52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 мЗв</w:t>
            </w:r>
          </w:p>
          <w:p>
            <w:pPr>
              <w:spacing w:after="0"/>
              <w:ind w:left="0"/>
              <w:jc w:val="left"/>
            </w:pPr>
            <w:r>
              <w:rPr>
                <w:rFonts w:hint="default" w:ascii="Times New Roman" w:hAnsi="Times New Roman"/>
                <w:b w:val="false"/>
                <w:i w:val="false"/>
                <w:color w:val="000000"/>
                <w:sz w:val="24"/>
              </w:rPr>
              <w:t>500 мЗв</w:t>
            </w:r>
          </w:p>
          <w:p>
            <w:pPr>
              <w:spacing w:after="0"/>
              <w:ind w:left="0"/>
              <w:jc w:val="left"/>
            </w:pPr>
            <w:r>
              <w:rPr>
                <w:rFonts w:hint="default" w:ascii="Times New Roman" w:hAnsi="Times New Roman"/>
                <w:b w:val="false"/>
                <w:i w:val="false"/>
                <w:color w:val="000000"/>
                <w:sz w:val="24"/>
              </w:rPr>
              <w:t>500 мЗв</w:t>
            </w:r>
          </w:p>
        </w:tc>
        <w:tc>
          <w:tcPr>
            <w:tcW w:w="4085"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 мЗв</w:t>
            </w:r>
          </w:p>
          <w:p>
            <w:pPr>
              <w:spacing w:after="0"/>
              <w:ind w:left="0"/>
              <w:jc w:val="left"/>
            </w:pPr>
            <w:r>
              <w:rPr>
                <w:rFonts w:hint="default" w:ascii="Times New Roman" w:hAnsi="Times New Roman"/>
                <w:b w:val="false"/>
                <w:i w:val="false"/>
                <w:color w:val="000000"/>
                <w:sz w:val="24"/>
              </w:rPr>
              <w:t>50 мЗв</w:t>
            </w:r>
          </w:p>
          <w:p>
            <w:pPr>
              <w:spacing w:after="0"/>
              <w:ind w:left="0"/>
              <w:jc w:val="left"/>
            </w:pPr>
            <w:r>
              <w:rPr>
                <w:rFonts w:hint="default" w:ascii="Times New Roman" w:hAnsi="Times New Roman"/>
                <w:b w:val="false"/>
                <w:i w:val="false"/>
                <w:color w:val="000000"/>
                <w:sz w:val="24"/>
              </w:rPr>
              <w:t>50 мЗв</w:t>
            </w:r>
          </w:p>
        </w:tc>
      </w:tr>
    </w:tbl>
    <w:bookmarkEnd w:id="185"/>
    <w:bookmarkStart w:name="2855888688"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Расшифрока аббревиатур:</w:t>
      </w:r>
    </w:p>
    <w:bookmarkEnd w:id="186"/>
    <w:bookmarkStart w:name="2855888689"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мЗв – микрозиверт</w:t>
      </w:r>
    </w:p>
    <w:bookmarkEnd w:id="187"/>
    <w:bookmarkStart w:name="2855888690"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Сэ – суммарная эффективность</w:t>
      </w:r>
    </w:p>
    <w:bookmarkEnd w:id="188"/>
    <w:bookmarkStart w:name="2855888691"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Бк – беккерель</w:t>
      </w:r>
    </w:p>
    <w:bookmarkEnd w:id="189"/>
    <w:bookmarkStart w:name="2855888692" w:id="190"/>
    <w:p>
      <w:pPr>
        <w:spacing w:before="120" w:after="120" w:line="240"/>
        <w:ind w:left="0"/>
        <w:jc w:val="right"/>
      </w:pPr>
      <w:r>
        <w:rPr>
          <w:rFonts w:hint="default" w:ascii="Times New Roman" w:hAnsi="Times New Roman"/>
          <w:b/>
          <w:i w:val="false"/>
          <w:color w:val="000000"/>
          <w:sz w:val="24"/>
        </w:rPr>
        <w:t>Приложение 2</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190"/>
    <w:bookmarkStart w:name="2855888694" w:id="19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Форма</w:t>
      </w:r>
    </w:p>
    <w:bookmarkEnd w:id="191"/>
    <w:bookmarkStart w:name="2855888695" w:id="192"/>
    <w:p>
      <w:pPr>
        <w:spacing w:before="120" w:after="120" w:line="240"/>
        <w:ind w:left="0"/>
        <w:jc w:val="both"/>
      </w:pPr>
      <w:r>
        <w:rPr>
          <w:rFonts w:hint="default" w:ascii="Times New Roman" w:hAnsi="Times New Roman"/>
          <w:b/>
          <w:i w:val="false"/>
          <w:color w:val="000000"/>
          <w:sz w:val="24"/>
        </w:rPr>
        <w:t>Направление на проведение исследования на позитронно-эмиссионном томографе, совмещенном с компьютерным томографом, позитронно-эмиссионном томографе, совмещенном с магнитно-резонансным томографом</w:t>
      </w:r>
    </w:p>
    <w:bookmarkEnd w:id="192"/>
    <w:bookmarkStart w:name="2855888696" w:id="193"/>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52"/>
        <w:gridCol w:w="556"/>
        <w:gridCol w:w="556"/>
        <w:gridCol w:w="556"/>
        <w:gridCol w:w="556"/>
        <w:gridCol w:w="557"/>
        <w:gridCol w:w="557"/>
        <w:gridCol w:w="240"/>
        <w:gridCol w:w="240"/>
        <w:gridCol w:w="178"/>
        <w:gridCol w:w="325"/>
        <w:gridCol w:w="309"/>
        <w:gridCol w:w="182"/>
        <w:gridCol w:w="804"/>
        <w:gridCol w:w="804"/>
        <w:gridCol w:w="3111"/>
        <w:gridCol w:w="1180"/>
        <w:gridCol w:w="1197"/>
      </w:tblGrid>
      <w:tr>
        <w:trPr>
          <w:trHeight w:val="270" w:hRule="atLeast"/>
        </w:trPr>
        <w:tc>
          <w:tcPr>
            <w:tcW w:w="552"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7"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7"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804" w:type="dxa"/>
            <w:tcBorders>
              <w:top w:val="single" w:color="000000" w:sz="8"/>
              <w:left w:val="single" w:color="000000" w:sz="8"/>
              <w:bottom w:val="single" w:color="000000" w:sz="8"/>
              <w:right w:val="single" w:color="000000" w:sz="8"/>
            </w:tcBorders>
            <w:vAlign w:val="center"/>
          </w:tcPr>
          <w:p>
            <w:pPr>
              <w:spacing w:after="0"/>
              <w:ind w:left="0"/>
              <w:jc w:val="left"/>
            </w:pPr>
          </w:p>
        </w:tc>
        <w:tc>
          <w:tcPr>
            <w:tcW w:w="804"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Онкологический случай</w:t>
            </w:r>
          </w:p>
        </w:tc>
        <w:tc>
          <w:tcPr>
            <w:tcW w:w="1197" w:type="dxa"/>
            <w:tcBorders/>
            <w:vAlign w:val="center"/>
          </w:tcPr>
          <w:p>
            <w:pPr>
              <w:spacing w:after="0"/>
              <w:ind w:left="0"/>
              <w:jc w:val="left"/>
            </w:pPr>
          </w:p>
        </w:tc>
      </w:tr>
      <w:tr>
        <w:trPr>
          <w:trHeight w:val="270" w:hRule="atLeast"/>
        </w:trPr>
        <w:tc>
          <w:tcPr>
            <w:tcW w:w="552"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6"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7" w:type="dxa"/>
            <w:tcBorders>
              <w:top w:val="single" w:color="000000" w:sz="8"/>
              <w:left w:val="single" w:color="000000" w:sz="8"/>
              <w:bottom w:val="single" w:color="000000" w:sz="8"/>
              <w:right w:val="single" w:color="000000" w:sz="8"/>
            </w:tcBorders>
            <w:vAlign w:val="center"/>
          </w:tcPr>
          <w:p>
            <w:pPr>
              <w:spacing w:after="0"/>
              <w:ind w:left="0"/>
              <w:jc w:val="left"/>
            </w:pPr>
          </w:p>
        </w:tc>
        <w:tc>
          <w:tcPr>
            <w:tcW w:w="557"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804" w:type="dxa"/>
            <w:tcBorders>
              <w:top w:val="single" w:color="000000" w:sz="8"/>
              <w:left w:val="single" w:color="000000" w:sz="8"/>
              <w:bottom w:val="single" w:color="000000" w:sz="8"/>
              <w:right w:val="single" w:color="000000" w:sz="8"/>
            </w:tcBorders>
            <w:vAlign w:val="center"/>
          </w:tcPr>
          <w:p>
            <w:pPr>
              <w:spacing w:after="0"/>
              <w:ind w:left="0"/>
              <w:jc w:val="left"/>
            </w:pPr>
          </w:p>
        </w:tc>
        <w:tc>
          <w:tcPr>
            <w:tcW w:w="804"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Неонкологический случай</w:t>
            </w:r>
          </w:p>
        </w:tc>
        <w:tc>
          <w:tcPr>
            <w:tcW w:w="1197" w:type="dxa"/>
            <w:tcBorders/>
            <w:vAlign w:val="center"/>
          </w:tcPr>
          <w:p>
            <w:pPr>
              <w:spacing w:after="0"/>
              <w:ind w:left="0"/>
              <w:jc w:val="left"/>
            </w:pPr>
          </w:p>
        </w:tc>
      </w:tr>
      <w:tr>
        <w:trPr>
          <w:trHeight w:val="15" w:hRule="atLeast"/>
        </w:trPr>
        <w:tc>
          <w:tcPr>
            <w:tcW w:w="0" w:type="auto"/>
            <w:gridSpan w:val="1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Фамилия, имя, отчество (при его наличии) пациента:</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Пол:</w:t>
            </w: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Национальность:</w:t>
            </w:r>
          </w:p>
        </w:tc>
      </w:tr>
      <w:tr>
        <w:trPr>
          <w:trHeight w:val="15" w:hRule="atLeast"/>
        </w:trPr>
        <w:tc>
          <w:tcPr>
            <w:tcW w:w="0" w:type="auto"/>
            <w:gridSpan w:val="10"/>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документа, удостоверяющего личность:</w:t>
            </w:r>
          </w:p>
        </w:tc>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Дата рождения:</w:t>
            </w:r>
          </w:p>
        </w:tc>
        <w:tc>
          <w:tcPr>
            <w:tcW w:w="311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Возраст:</w:t>
            </w: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Контактный номер:</w:t>
            </w:r>
          </w:p>
        </w:tc>
      </w:tr>
      <w:tr>
        <w:trPr>
          <w:trHeight w:val="15" w:hRule="atLeast"/>
        </w:trPr>
        <w:tc>
          <w:tcPr>
            <w:tcW w:w="0" w:type="auto"/>
            <w:gridSpan w:val="18"/>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Адрес:</w:t>
            </w:r>
          </w:p>
        </w:tc>
      </w:tr>
      <w:tr>
        <w:trPr>
          <w:trHeight w:val="15" w:hRule="atLeast"/>
        </w:trPr>
        <w:tc>
          <w:tcPr>
            <w:tcW w:w="0" w:type="auto"/>
            <w:gridSpan w:val="10"/>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Область, город, район, село, поселок:</w:t>
            </w:r>
          </w:p>
        </w:tc>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Почтовый индекс:</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Страна:</w:t>
            </w:r>
          </w:p>
        </w:tc>
      </w:tr>
      <w:tr>
        <w:trPr>
          <w:trHeight w:val="15" w:hRule="atLeast"/>
        </w:trPr>
        <w:tc>
          <w:tcPr>
            <w:tcW w:w="0" w:type="auto"/>
            <w:gridSpan w:val="8"/>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i w:val="false"/>
                <w:color w:val="000000"/>
                <w:sz w:val="24"/>
              </w:rPr>
              <w:t>Анамнез:</w:t>
            </w:r>
          </w:p>
          <w:p>
            <w:pPr>
              <w:spacing w:after="0"/>
              <w:ind w:left="0"/>
              <w:jc w:val="left"/>
            </w:pPr>
            <w:r>
              <w:rPr>
                <w:rFonts w:hint="default" w:ascii="Times New Roman" w:hAnsi="Times New Roman"/>
                <w:b w:val="false"/>
                <w:i w:val="false"/>
                <w:color w:val="000000"/>
                <w:sz w:val="24"/>
              </w:rPr>
              <w:t>Диабет?</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Нет</w:t>
            </w:r>
          </w:p>
        </w:tc>
        <w:tc>
          <w:tcPr>
            <w:tcW w:w="0" w:type="auto"/>
            <w:gridSpan w:val="6"/>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Инсулин (Режим):</w:t>
            </w:r>
          </w:p>
          <w:p>
            <w:pPr>
              <w:spacing w:after="0"/>
              <w:ind w:left="0"/>
              <w:jc w:val="left"/>
            </w:pPr>
            <w:r>
              <w:rPr>
                <w:rFonts w:hint="default" w:ascii="Times New Roman" w:hAnsi="Times New Roman"/>
                <w:b w:val="false"/>
                <w:i w:val="false"/>
                <w:color w:val="000000"/>
                <w:sz w:val="24"/>
              </w:rPr>
              <w:t>_________________________________________</w:t>
            </w:r>
          </w:p>
          <w:p>
            <w:pPr>
              <w:spacing w:after="0"/>
              <w:ind w:left="0"/>
              <w:jc w:val="left"/>
            </w:pPr>
            <w:r>
              <w:rPr>
                <w:rFonts w:hint="default" w:ascii="Times New Roman" w:hAnsi="Times New Roman"/>
                <w:b w:val="false"/>
                <w:i w:val="false"/>
                <w:color w:val="000000"/>
                <w:sz w:val="24"/>
              </w:rPr>
              <w:t>☐ Пероральные гипогликемические препараты:</w:t>
            </w:r>
          </w:p>
          <w:p>
            <w:pPr>
              <w:spacing w:after="0"/>
              <w:ind w:left="0"/>
              <w:jc w:val="left"/>
            </w:pPr>
            <w:r>
              <w:rPr>
                <w:rFonts w:hint="default" w:ascii="Times New Roman" w:hAnsi="Times New Roman"/>
                <w:b w:val="false"/>
                <w:i w:val="false"/>
                <w:color w:val="000000"/>
                <w:sz w:val="24"/>
              </w:rPr>
              <w:t>_________________________________________</w:t>
            </w:r>
          </w:p>
        </w:tc>
      </w:tr>
      <w:tr>
        <w:trPr>
          <w:trHeight w:val="15" w:hRule="atLeast"/>
        </w:trPr>
        <w:tc>
          <w:tcPr>
            <w:tcW w:w="0" w:type="auto"/>
            <w:gridSpan w:val="8"/>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Астма?</w:t>
            </w:r>
          </w:p>
          <w:p>
            <w:pPr>
              <w:spacing w:after="0"/>
              <w:ind w:left="0"/>
              <w:jc w:val="left"/>
            </w:pPr>
            <w:r>
              <w:rPr>
                <w:rFonts w:hint="default" w:ascii="Times New Roman" w:hAnsi="Times New Roman"/>
                <w:b w:val="false"/>
                <w:i w:val="false"/>
                <w:color w:val="000000"/>
                <w:sz w:val="24"/>
              </w:rPr>
              <w:t>Клаустрофобия?</w:t>
            </w:r>
          </w:p>
          <w:p>
            <w:pPr>
              <w:spacing w:after="0"/>
              <w:ind w:left="0"/>
              <w:jc w:val="left"/>
            </w:pPr>
            <w:r>
              <w:rPr>
                <w:rFonts w:hint="default" w:ascii="Times New Roman" w:hAnsi="Times New Roman"/>
                <w:b w:val="false"/>
                <w:i w:val="false"/>
                <w:color w:val="000000"/>
                <w:sz w:val="24"/>
              </w:rPr>
              <w:t>Аллергия на лекарства?</w:t>
            </w:r>
          </w:p>
          <w:p>
            <w:pPr>
              <w:spacing w:after="0"/>
              <w:ind w:left="0"/>
              <w:jc w:val="left"/>
            </w:pPr>
            <w:r>
              <w:rPr>
                <w:rFonts w:hint="default" w:ascii="Times New Roman" w:hAnsi="Times New Roman"/>
                <w:b w:val="false"/>
                <w:i w:val="false"/>
                <w:color w:val="000000"/>
                <w:sz w:val="24"/>
              </w:rPr>
              <w:t>Аллергия на йод?</w:t>
            </w:r>
          </w:p>
          <w:p>
            <w:pPr>
              <w:spacing w:after="0"/>
              <w:ind w:left="0"/>
              <w:jc w:val="left"/>
            </w:pPr>
            <w:r>
              <w:rPr>
                <w:rFonts w:hint="default" w:ascii="Times New Roman" w:hAnsi="Times New Roman"/>
                <w:b w:val="false"/>
                <w:i w:val="false"/>
                <w:color w:val="000000"/>
                <w:sz w:val="24"/>
              </w:rPr>
              <w:t>Беременность (для женщин)?</w:t>
            </w:r>
          </w:p>
          <w:p>
            <w:pPr>
              <w:spacing w:after="0"/>
              <w:ind w:left="0"/>
              <w:jc w:val="left"/>
            </w:pPr>
            <w:r>
              <w:rPr>
                <w:rFonts w:hint="default" w:ascii="Times New Roman" w:hAnsi="Times New Roman"/>
                <w:b w:val="false"/>
                <w:i w:val="false"/>
                <w:color w:val="000000"/>
                <w:sz w:val="24"/>
              </w:rPr>
              <w:t>Кормление грудью?</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tc>
        <w:tc>
          <w:tcPr>
            <w:tcW w:w="0" w:type="auto"/>
            <w:gridSpan w:val="6"/>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tc>
      </w:tr>
      <w:tr>
        <w:trPr>
          <w:trHeight w:val="15" w:hRule="atLeast"/>
        </w:trPr>
        <w:tc>
          <w:tcPr>
            <w:tcW w:w="0" w:type="auto"/>
            <w:gridSpan w:val="8"/>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Лабораторные данные:</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6"/>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0" w:type="auto"/>
            <w:gridSpan w:val="8"/>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Общий анализ крови</w:t>
            </w:r>
          </w:p>
          <w:p>
            <w:pPr>
              <w:spacing w:after="0"/>
              <w:ind w:left="0"/>
              <w:jc w:val="left"/>
            </w:pPr>
            <w:r>
              <w:rPr>
                <w:rFonts w:hint="default" w:ascii="Times New Roman" w:hAnsi="Times New Roman"/>
                <w:b w:val="false"/>
                <w:i w:val="false"/>
                <w:color w:val="000000"/>
                <w:sz w:val="24"/>
              </w:rPr>
              <w:t>Биохимический анализ крови</w:t>
            </w:r>
          </w:p>
          <w:p>
            <w:pPr>
              <w:spacing w:after="0"/>
              <w:ind w:left="0"/>
              <w:jc w:val="left"/>
            </w:pPr>
            <w:r>
              <w:rPr>
                <w:rFonts w:hint="default" w:ascii="Times New Roman" w:hAnsi="Times New Roman"/>
                <w:b w:val="false"/>
                <w:i w:val="false"/>
                <w:color w:val="000000"/>
                <w:sz w:val="24"/>
              </w:rPr>
              <w:t>Креатинин</w:t>
            </w:r>
          </w:p>
          <w:p>
            <w:pPr>
              <w:spacing w:after="0"/>
              <w:ind w:left="0"/>
              <w:jc w:val="left"/>
            </w:pPr>
            <w:r>
              <w:rPr>
                <w:rFonts w:hint="default" w:ascii="Times New Roman" w:hAnsi="Times New Roman"/>
                <w:b w:val="false"/>
                <w:i w:val="false"/>
                <w:color w:val="000000"/>
                <w:sz w:val="24"/>
              </w:rPr>
              <w:t>Уровень глюкозы</w:t>
            </w:r>
          </w:p>
          <w:p>
            <w:pPr>
              <w:spacing w:after="0"/>
              <w:ind w:left="0"/>
              <w:jc w:val="left"/>
            </w:pPr>
            <w:r>
              <w:rPr>
                <w:rFonts w:hint="default" w:ascii="Times New Roman" w:hAnsi="Times New Roman"/>
                <w:b w:val="false"/>
                <w:i w:val="false"/>
                <w:color w:val="000000"/>
                <w:sz w:val="24"/>
              </w:rPr>
              <w:t>Цитология</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tc>
        <w:tc>
          <w:tcPr>
            <w:tcW w:w="0" w:type="auto"/>
            <w:gridSpan w:val="6"/>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Нет Дата: _______________</w:t>
            </w:r>
          </w:p>
          <w:p>
            <w:pPr>
              <w:spacing w:after="0"/>
              <w:ind w:left="0"/>
              <w:jc w:val="left"/>
            </w:pPr>
            <w:r>
              <w:rPr>
                <w:rFonts w:hint="default" w:ascii="Times New Roman" w:hAnsi="Times New Roman"/>
                <w:b w:val="false"/>
                <w:i w:val="false"/>
                <w:color w:val="000000"/>
                <w:sz w:val="24"/>
              </w:rPr>
              <w:t>☐ Нет Дата: _______________</w:t>
            </w:r>
          </w:p>
          <w:p>
            <w:pPr>
              <w:spacing w:after="0"/>
              <w:ind w:left="0"/>
              <w:jc w:val="left"/>
            </w:pPr>
            <w:r>
              <w:rPr>
                <w:rFonts w:hint="default" w:ascii="Times New Roman" w:hAnsi="Times New Roman"/>
                <w:b w:val="false"/>
                <w:i w:val="false"/>
                <w:color w:val="000000"/>
                <w:sz w:val="24"/>
              </w:rPr>
              <w:t>☐ Нет Дата: _______________</w:t>
            </w:r>
          </w:p>
          <w:p>
            <w:pPr>
              <w:spacing w:after="0"/>
              <w:ind w:left="0"/>
              <w:jc w:val="left"/>
            </w:pPr>
            <w:r>
              <w:rPr>
                <w:rFonts w:hint="default" w:ascii="Times New Roman" w:hAnsi="Times New Roman"/>
                <w:b w:val="false"/>
                <w:i w:val="false"/>
                <w:color w:val="000000"/>
                <w:sz w:val="24"/>
              </w:rPr>
              <w:t>☐ Нет Дата: _</w:t>
            </w:r>
          </w:p>
          <w:p>
            <w:pPr>
              <w:spacing w:after="0"/>
              <w:ind w:left="0"/>
              <w:jc w:val="left"/>
            </w:pPr>
            <w:r>
              <w:rPr>
                <w:rFonts w:hint="default" w:ascii="Times New Roman" w:hAnsi="Times New Roman"/>
                <w:b w:val="false"/>
                <w:i w:val="false"/>
                <w:color w:val="000000"/>
                <w:sz w:val="24"/>
              </w:rPr>
              <w:t>☐ Нет Дата: _______________</w:t>
            </w:r>
          </w:p>
          <w:p>
            <w:pPr>
              <w:spacing w:after="0"/>
              <w:ind w:left="0"/>
              <w:jc w:val="left"/>
            </w:pPr>
            <w:r>
              <w:rPr>
                <w:rFonts w:hint="default" w:ascii="Times New Roman" w:hAnsi="Times New Roman"/>
                <w:b w:val="false"/>
                <w:i w:val="false"/>
                <w:color w:val="000000"/>
                <w:sz w:val="24"/>
              </w:rPr>
              <w:t>Если ДА, локализация пункции:</w:t>
            </w:r>
          </w:p>
          <w:p>
            <w:pPr>
              <w:spacing w:after="0"/>
              <w:ind w:left="0"/>
              <w:jc w:val="left"/>
            </w:pPr>
            <w:r>
              <w:rPr>
                <w:rFonts w:hint="default" w:ascii="Times New Roman" w:hAnsi="Times New Roman"/>
                <w:b w:val="false"/>
                <w:i w:val="false"/>
                <w:color w:val="000000"/>
                <w:sz w:val="24"/>
              </w:rPr>
              <w:t>_____________________________________</w:t>
            </w:r>
          </w:p>
          <w:p>
            <w:pPr>
              <w:spacing w:after="0"/>
              <w:ind w:left="0"/>
              <w:jc w:val="left"/>
            </w:pPr>
            <w:r>
              <w:rPr>
                <w:rFonts w:hint="default" w:ascii="Times New Roman" w:hAnsi="Times New Roman"/>
                <w:b w:val="false"/>
                <w:i w:val="false"/>
                <w:color w:val="000000"/>
                <w:sz w:val="24"/>
              </w:rPr>
              <w:t>Заключение: __________________________</w:t>
            </w:r>
          </w:p>
        </w:tc>
      </w:tr>
      <w:tr>
        <w:trPr>
          <w:trHeight w:val="15" w:hRule="atLeast"/>
        </w:trPr>
        <w:tc>
          <w:tcPr>
            <w:tcW w:w="0" w:type="auto"/>
            <w:gridSpan w:val="8"/>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Гистология:</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tc>
        <w:tc>
          <w:tcPr>
            <w:tcW w:w="0" w:type="auto"/>
            <w:gridSpan w:val="6"/>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Нет Если ДА,:</w:t>
            </w:r>
          </w:p>
          <w:p>
            <w:pPr>
              <w:spacing w:after="0"/>
              <w:ind w:left="0"/>
              <w:jc w:val="left"/>
            </w:pPr>
            <w:r>
              <w:rPr>
                <w:rFonts w:hint="default" w:ascii="Times New Roman" w:hAnsi="Times New Roman"/>
                <w:b w:val="false"/>
                <w:i w:val="false"/>
                <w:color w:val="000000"/>
                <w:sz w:val="24"/>
              </w:rPr>
              <w:t>Заключение: __________________________</w:t>
            </w:r>
          </w:p>
        </w:tc>
      </w:tr>
    </w:tbl>
    <w:bookmarkEnd w:id="193"/>
    <w:bookmarkStart w:name="2855888697"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Клинический обзор</w:t>
      </w:r>
    </w:p>
    <w:bookmarkEnd w:id="194"/>
    <w:bookmarkStart w:name="2855888698" w:id="195"/>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заболевание:</w:t>
            </w:r>
          </w:p>
          <w:p>
            <w:pPr>
              <w:spacing w:after="0"/>
              <w:ind w:left="0"/>
              <w:jc w:val="left"/>
            </w:pPr>
            <w:r>
              <w:rPr>
                <w:rFonts w:hint="default" w:ascii="Times New Roman" w:hAnsi="Times New Roman"/>
                <w:b w:val="false"/>
                <w:i w:val="false"/>
                <w:color w:val="000000"/>
                <w:sz w:val="24"/>
              </w:rPr>
              <w:t>☐ Опухоль головы и шеи ☐ Рак легкого ☐ Рак пищевода ☐ Рак желудка ☐ Лимфома ☐ Колоректальный рак</w:t>
            </w:r>
          </w:p>
          <w:p>
            <w:pPr>
              <w:spacing w:after="0"/>
              <w:ind w:left="0"/>
              <w:jc w:val="left"/>
            </w:pPr>
            <w:r>
              <w:rPr>
                <w:rFonts w:hint="default" w:ascii="Times New Roman" w:hAnsi="Times New Roman"/>
                <w:b w:val="false"/>
                <w:i w:val="false"/>
                <w:color w:val="000000"/>
                <w:sz w:val="24"/>
              </w:rPr>
              <w:t>☐ Рак шейки матки ☐ Рак яичников ☐ Саркома ☐ Метастазы без первичного очага (с гистологией)</w:t>
            </w:r>
          </w:p>
          <w:p>
            <w:pPr>
              <w:spacing w:after="0"/>
              <w:ind w:left="0"/>
              <w:jc w:val="left"/>
            </w:pPr>
            <w:r>
              <w:rPr>
                <w:rFonts w:hint="default" w:ascii="Times New Roman" w:hAnsi="Times New Roman"/>
                <w:b w:val="false"/>
                <w:i w:val="false"/>
                <w:color w:val="000000"/>
                <w:sz w:val="24"/>
              </w:rPr>
              <w:t>☐ Рак молочной железы ☐ Другое: ___________________________________</w:t>
            </w:r>
          </w:p>
          <w:p>
            <w:pPr>
              <w:spacing w:after="0"/>
              <w:ind w:left="0"/>
              <w:jc w:val="left"/>
            </w:pPr>
            <w:r>
              <w:rPr>
                <w:rFonts w:hint="default" w:ascii="Times New Roman" w:hAnsi="Times New Roman"/>
                <w:b w:val="false"/>
                <w:i w:val="false"/>
                <w:color w:val="000000"/>
                <w:sz w:val="24"/>
              </w:rPr>
              <w:t>__________________________________________________________________</w:t>
            </w:r>
          </w:p>
          <w:p>
            <w:pPr>
              <w:spacing w:after="0"/>
              <w:ind w:left="0"/>
              <w:jc w:val="left"/>
            </w:pPr>
            <w:r>
              <w:rPr>
                <w:rFonts w:hint="default" w:ascii="Times New Roman" w:hAnsi="Times New Roman"/>
                <w:b w:val="false"/>
                <w:i w:val="false"/>
                <w:color w:val="000000"/>
                <w:sz w:val="24"/>
              </w:rPr>
              <w:t>__________________________________________________________________</w:t>
            </w:r>
          </w:p>
        </w:tc>
      </w:tr>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Предыдущие исследования:</w:t>
            </w:r>
          </w:p>
          <w:p>
            <w:pPr>
              <w:spacing w:after="0"/>
              <w:ind w:left="0"/>
              <w:jc w:val="left"/>
            </w:pPr>
            <w:r>
              <w:rPr>
                <w:rFonts w:hint="default" w:ascii="Times New Roman" w:hAnsi="Times New Roman"/>
                <w:b w:val="false"/>
                <w:i w:val="false"/>
                <w:color w:val="000000"/>
                <w:sz w:val="24"/>
              </w:rPr>
              <w:t>МРТ Дата: __________________ Заключение: ___________________________</w:t>
            </w:r>
          </w:p>
          <w:p>
            <w:pPr>
              <w:spacing w:after="0"/>
              <w:ind w:left="0"/>
              <w:jc w:val="left"/>
            </w:pPr>
            <w:r>
              <w:rPr>
                <w:rFonts w:hint="default" w:ascii="Times New Roman" w:hAnsi="Times New Roman"/>
                <w:b w:val="false"/>
                <w:i w:val="false"/>
                <w:color w:val="000000"/>
                <w:sz w:val="24"/>
              </w:rPr>
              <w:t>КТ Дата: ___________________ Заключение: ___________________________</w:t>
            </w:r>
          </w:p>
          <w:p>
            <w:pPr>
              <w:spacing w:after="0"/>
              <w:ind w:left="0"/>
              <w:jc w:val="left"/>
            </w:pPr>
            <w:r>
              <w:rPr>
                <w:rFonts w:hint="default" w:ascii="Times New Roman" w:hAnsi="Times New Roman"/>
                <w:b w:val="false"/>
                <w:i w:val="false"/>
                <w:color w:val="000000"/>
                <w:sz w:val="24"/>
              </w:rPr>
              <w:t>ПЭТ/КТ, ПЭТ/МРТ Дата: _______________ Заключение:___________________</w:t>
            </w:r>
          </w:p>
          <w:p>
            <w:pPr>
              <w:spacing w:after="0"/>
              <w:ind w:left="0"/>
              <w:jc w:val="left"/>
            </w:pPr>
            <w:r>
              <w:rPr>
                <w:rFonts w:hint="default" w:ascii="Times New Roman" w:hAnsi="Times New Roman"/>
                <w:b w:val="false"/>
                <w:i w:val="false"/>
                <w:color w:val="000000"/>
                <w:sz w:val="24"/>
              </w:rPr>
              <w:t>Другое Дата: ________________ Заключение: _________________________</w:t>
            </w:r>
          </w:p>
        </w:tc>
      </w:tr>
    </w:tbl>
    <w:bookmarkEnd w:id="195"/>
    <w:bookmarkStart w:name="2855888699" w:id="196"/>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Цель ПЭТ/КТ, ПЭТ/МРТ исследования:</w:t>
            </w:r>
          </w:p>
          <w:p>
            <w:pPr>
              <w:spacing w:after="0"/>
              <w:ind w:left="0"/>
              <w:jc w:val="left"/>
            </w:pPr>
            <w:r>
              <w:rPr>
                <w:rFonts w:hint="default" w:ascii="Times New Roman" w:hAnsi="Times New Roman"/>
                <w:b w:val="false"/>
                <w:i w:val="false"/>
                <w:color w:val="000000"/>
                <w:sz w:val="24"/>
              </w:rPr>
              <w:t>☐ Диагностика ☐ Оценка терапии ☐ Динамическое наблюдение ☐ Поиск первичного очага</w:t>
            </w:r>
          </w:p>
          <w:p>
            <w:pPr>
              <w:spacing w:after="0"/>
              <w:ind w:left="0"/>
              <w:jc w:val="left"/>
            </w:pPr>
            <w:r>
              <w:rPr>
                <w:rFonts w:hint="default" w:ascii="Times New Roman" w:hAnsi="Times New Roman"/>
                <w:b w:val="false"/>
                <w:i w:val="false"/>
                <w:color w:val="000000"/>
                <w:sz w:val="24"/>
              </w:rPr>
              <w:t>☐ Оценка распространенности процесса ☐ Другое ______________________</w:t>
            </w:r>
          </w:p>
          <w:p>
            <w:pPr>
              <w:spacing w:after="0"/>
              <w:ind w:left="0"/>
              <w:jc w:val="left"/>
            </w:pPr>
            <w:r>
              <w:rPr>
                <w:rFonts w:hint="default" w:ascii="Times New Roman" w:hAnsi="Times New Roman"/>
                <w:b w:val="false"/>
                <w:i w:val="false"/>
                <w:color w:val="000000"/>
                <w:sz w:val="24"/>
              </w:rPr>
              <w:t>__________________________________________________________________</w:t>
            </w:r>
          </w:p>
        </w:tc>
      </w:tr>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Лечение: ☐ Да ☐ Нет</w:t>
            </w:r>
          </w:p>
          <w:p>
            <w:pPr>
              <w:spacing w:after="0"/>
              <w:ind w:left="0"/>
              <w:jc w:val="left"/>
            </w:pPr>
            <w:r>
              <w:rPr>
                <w:rFonts w:hint="default" w:ascii="Times New Roman" w:hAnsi="Times New Roman"/>
                <w:b w:val="false"/>
                <w:i w:val="false"/>
                <w:color w:val="000000"/>
                <w:sz w:val="24"/>
              </w:rPr>
              <w:t>Если ДА, дата последнего</w:t>
            </w:r>
          </w:p>
          <w:p>
            <w:pPr>
              <w:spacing w:after="0"/>
              <w:ind w:left="0"/>
              <w:jc w:val="left"/>
            </w:pPr>
            <w:r>
              <w:rPr>
                <w:rFonts w:hint="default" w:ascii="Times New Roman" w:hAnsi="Times New Roman"/>
                <w:b w:val="false"/>
                <w:i w:val="false"/>
                <w:color w:val="000000"/>
                <w:sz w:val="24"/>
              </w:rPr>
              <w:t>☐Операция (Дата: _____________ Наименование: __________________________________ )</w:t>
            </w:r>
          </w:p>
          <w:p>
            <w:pPr>
              <w:spacing w:after="0"/>
              <w:ind w:left="0"/>
              <w:jc w:val="left"/>
            </w:pPr>
            <w:r>
              <w:rPr>
                <w:rFonts w:hint="default" w:ascii="Times New Roman" w:hAnsi="Times New Roman"/>
                <w:b w:val="false"/>
                <w:i w:val="false"/>
                <w:color w:val="000000"/>
                <w:sz w:val="24"/>
              </w:rPr>
              <w:t>☐ Лучевая терапия (Дата окончания последнего курса: _________ Количество курсов: ____)</w:t>
            </w:r>
          </w:p>
          <w:p>
            <w:pPr>
              <w:spacing w:after="0"/>
              <w:ind w:left="0"/>
              <w:jc w:val="left"/>
            </w:pPr>
            <w:r>
              <w:rPr>
                <w:rFonts w:hint="default" w:ascii="Times New Roman" w:hAnsi="Times New Roman"/>
                <w:b w:val="false"/>
                <w:i w:val="false"/>
                <w:color w:val="000000"/>
                <w:sz w:val="24"/>
              </w:rPr>
              <w:t>☐ Химиотерапия (Дата окончания последнего курса: ___________ Количество курсов: ____)</w:t>
            </w:r>
          </w:p>
        </w:tc>
      </w:tr>
    </w:tbl>
    <w:bookmarkEnd w:id="196"/>
    <w:bookmarkStart w:name="2855888700" w:id="19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Врач-онколог ____________ ____________________________________________ (подпись) (Фамилия, имя, отчество (при его наличии)</w:t>
      </w:r>
    </w:p>
    <w:bookmarkEnd w:id="197"/>
    <w:bookmarkStart w:name="2855888701" w:id="19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Заведующий отделением ____________ ____________________________________________ (подпись) (Фамилия, имя, отчество (при его наличии)</w:t>
      </w:r>
    </w:p>
    <w:bookmarkEnd w:id="198"/>
    <w:bookmarkStart w:name="2855888702" w:id="19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Дата: ________________</w:t>
      </w:r>
    </w:p>
    <w:bookmarkEnd w:id="199"/>
    <w:bookmarkStart w:name="2855888703"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Место печати</w:t>
      </w:r>
    </w:p>
    <w:bookmarkEnd w:id="200"/>
    <w:bookmarkStart w:name="2855888704"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Расшифрока аббревиатур:</w:t>
      </w:r>
    </w:p>
    <w:bookmarkEnd w:id="201"/>
    <w:bookmarkStart w:name="2855888705"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МРТ – магнитно-резонансная томография</w:t>
      </w:r>
    </w:p>
    <w:bookmarkEnd w:id="202"/>
    <w:bookmarkStart w:name="2855888706"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КТ – компьютерная томография</w:t>
      </w:r>
    </w:p>
    <w:bookmarkEnd w:id="203"/>
    <w:bookmarkStart w:name="2855888707"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ПЭТ/КТ – позитронно-эмиссионная томография, совмещенная с компьютерной томографией</w:t>
      </w:r>
    </w:p>
    <w:bookmarkEnd w:id="204"/>
    <w:bookmarkStart w:name="2855888708"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ПЭТ/МРТ - позитронно-эмиссионная томография, совмещенная с магнитно-резонансной томографией</w:t>
      </w:r>
    </w:p>
    <w:bookmarkEnd w:id="205"/>
    <w:bookmarkStart w:name="2855888709" w:id="206"/>
    <w:p>
      <w:pPr>
        <w:spacing w:before="120" w:after="120" w:line="240"/>
        <w:ind w:left="0"/>
        <w:jc w:val="both"/>
      </w:pPr>
      <w:r>
        <w:rPr>
          <w:rFonts w:hint="default" w:ascii="Times New Roman" w:hAnsi="Times New Roman"/>
          <w:b/>
          <w:i w:val="false"/>
          <w:color w:val="000000"/>
          <w:sz w:val="24"/>
        </w:rPr>
        <w:t>Направление на проведение исследования на однофотонном эмиссионном компьютерном томографе или однофотонном эмиссионном компьютерном томографе, совмещенном с компьютерным томографом</w:t>
      </w:r>
    </w:p>
    <w:bookmarkEnd w:id="206"/>
    <w:bookmarkStart w:name="2855888710" w:id="207"/>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38"/>
        <w:gridCol w:w="751"/>
        <w:gridCol w:w="751"/>
        <w:gridCol w:w="751"/>
        <w:gridCol w:w="751"/>
        <w:gridCol w:w="751"/>
        <w:gridCol w:w="751"/>
        <w:gridCol w:w="751"/>
        <w:gridCol w:w="204"/>
        <w:gridCol w:w="333"/>
        <w:gridCol w:w="909"/>
        <w:gridCol w:w="909"/>
        <w:gridCol w:w="2292"/>
        <w:gridCol w:w="902"/>
        <w:gridCol w:w="916"/>
      </w:tblGrid>
      <w:tr>
        <w:trPr>
          <w:trHeight w:val="270" w:hRule="atLeast"/>
        </w:trPr>
        <w:tc>
          <w:tcPr>
            <w:tcW w:w="738"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909" w:type="dxa"/>
            <w:tcBorders>
              <w:top w:val="single" w:color="000000" w:sz="8"/>
              <w:left w:val="single" w:color="000000" w:sz="8"/>
              <w:bottom w:val="single" w:color="000000" w:sz="8"/>
              <w:right w:val="single" w:color="000000" w:sz="8"/>
            </w:tcBorders>
            <w:vAlign w:val="center"/>
          </w:tcPr>
          <w:p>
            <w:pPr>
              <w:spacing w:after="0"/>
              <w:ind w:left="0"/>
              <w:jc w:val="left"/>
            </w:pPr>
          </w:p>
        </w:tc>
        <w:tc>
          <w:tcPr>
            <w:tcW w:w="909"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Онкологический случай</w:t>
            </w:r>
          </w:p>
        </w:tc>
        <w:tc>
          <w:tcPr>
            <w:tcW w:w="916" w:type="dxa"/>
            <w:tcBorders/>
            <w:vAlign w:val="center"/>
          </w:tcPr>
          <w:p>
            <w:pPr>
              <w:spacing w:after="0"/>
              <w:ind w:left="0"/>
              <w:jc w:val="left"/>
            </w:pPr>
          </w:p>
        </w:tc>
      </w:tr>
      <w:tr>
        <w:trPr>
          <w:trHeight w:val="270" w:hRule="atLeast"/>
        </w:trPr>
        <w:tc>
          <w:tcPr>
            <w:tcW w:w="738"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751"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p>
        </w:tc>
        <w:tc>
          <w:tcPr>
            <w:tcW w:w="909" w:type="dxa"/>
            <w:tcBorders>
              <w:top w:val="single" w:color="000000" w:sz="8"/>
              <w:left w:val="single" w:color="000000" w:sz="8"/>
              <w:bottom w:val="single" w:color="000000" w:sz="8"/>
              <w:right w:val="single" w:color="000000" w:sz="8"/>
            </w:tcBorders>
            <w:vAlign w:val="center"/>
          </w:tcPr>
          <w:p>
            <w:pPr>
              <w:spacing w:after="0"/>
              <w:ind w:left="0"/>
              <w:jc w:val="left"/>
            </w:pPr>
          </w:p>
        </w:tc>
        <w:tc>
          <w:tcPr>
            <w:tcW w:w="909" w:type="dxa"/>
            <w:tcBorders>
              <w:top w:val="single" w:color="000000" w:sz="8"/>
              <w:left w:val="single" w:color="000000" w:sz="8"/>
              <w:bottom w:val="single" w:color="000000" w:sz="8"/>
              <w:right w:val="single" w:color="000000" w:sz="8"/>
            </w:tcBorders>
            <w:vAlign w:val="center"/>
          </w:tcPr>
          <w:p>
            <w:pPr>
              <w:spacing w:after="0"/>
              <w:ind w:left="0"/>
              <w:jc w:val="left"/>
            </w:p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Неонкологический случай</w:t>
            </w:r>
          </w:p>
        </w:tc>
        <w:tc>
          <w:tcPr>
            <w:tcW w:w="916" w:type="dxa"/>
            <w:tcBorders/>
            <w:vAlign w:val="center"/>
          </w:tcPr>
          <w:p>
            <w:pPr>
              <w:spacing w:after="0"/>
              <w:ind w:left="0"/>
              <w:jc w:val="left"/>
            </w:pPr>
          </w:p>
        </w:tc>
      </w:tr>
      <w:tr>
        <w:trPr>
          <w:trHeight w:val="15" w:hRule="atLeast"/>
        </w:trPr>
        <w:tc>
          <w:tcPr>
            <w:tcW w:w="0" w:type="auto"/>
            <w:gridSpan w:val="9"/>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(Фамилия, имя, отчество (при его наличии) пациента:</w:t>
            </w:r>
          </w:p>
        </w:tc>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Пол:</w:t>
            </w: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Национальность:</w:t>
            </w:r>
          </w:p>
        </w:tc>
      </w:tr>
      <w:tr>
        <w:trPr>
          <w:trHeight w:val="15" w:hRule="atLeast"/>
        </w:trPr>
        <w:tc>
          <w:tcPr>
            <w:tcW w:w="0" w:type="auto"/>
            <w:gridSpan w:val="9"/>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документа, удостоверяющего личность:</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Дата рождения:</w:t>
            </w:r>
          </w:p>
        </w:tc>
        <w:tc>
          <w:tcPr>
            <w:tcW w:w="229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Возраст:</w:t>
            </w: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Контактный номер:</w:t>
            </w:r>
          </w:p>
        </w:tc>
      </w:tr>
      <w:tr>
        <w:trPr>
          <w:trHeight w:val="15" w:hRule="atLeast"/>
        </w:trPr>
        <w:tc>
          <w:tcPr>
            <w:tcW w:w="0" w:type="auto"/>
            <w:gridSpan w:val="1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Адрес:</w:t>
            </w:r>
          </w:p>
        </w:tc>
      </w:tr>
      <w:tr>
        <w:trPr>
          <w:trHeight w:val="15" w:hRule="atLeast"/>
        </w:trPr>
        <w:tc>
          <w:tcPr>
            <w:tcW w:w="0" w:type="auto"/>
            <w:gridSpan w:val="9"/>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Область, город, район, село, поселок:</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Почтовый индекс:</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Страна:</w:t>
            </w:r>
          </w:p>
        </w:tc>
      </w:tr>
    </w:tbl>
    <w:bookmarkEnd w:id="207"/>
    <w:bookmarkStart w:name="2855888711" w:id="208"/>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050"/>
        <w:gridCol w:w="1132"/>
        <w:gridCol w:w="7278"/>
      </w:tblGrid>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Вид обследования:</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Цель ОФЭКТ, ОФЭКТ/КТ исследования:</w:t>
            </w:r>
          </w:p>
          <w:p>
            <w:pPr>
              <w:spacing w:after="0"/>
              <w:ind w:left="0"/>
              <w:jc w:val="left"/>
            </w:pPr>
            <w:r>
              <w:rPr>
                <w:rFonts w:hint="default" w:ascii="Times New Roman" w:hAnsi="Times New Roman"/>
                <w:b w:val="false"/>
                <w:i w:val="false"/>
                <w:color w:val="000000"/>
                <w:sz w:val="24"/>
              </w:rPr>
              <w:t>☐ Диагностика ☐ Оценка терапии ☐ Оценка распространенности процесса</w:t>
            </w:r>
          </w:p>
          <w:p>
            <w:pPr>
              <w:spacing w:after="0"/>
              <w:ind w:left="0"/>
              <w:jc w:val="left"/>
            </w:pPr>
            <w:r>
              <w:rPr>
                <w:rFonts w:hint="default" w:ascii="Times New Roman" w:hAnsi="Times New Roman"/>
                <w:b w:val="false"/>
                <w:i w:val="false"/>
                <w:color w:val="000000"/>
                <w:sz w:val="24"/>
              </w:rPr>
              <w:t>☐ Динамическое наблюдение</w:t>
            </w:r>
          </w:p>
          <w:p>
            <w:pPr>
              <w:spacing w:after="0"/>
              <w:ind w:left="0"/>
              <w:jc w:val="left"/>
            </w:pPr>
            <w:r>
              <w:rPr>
                <w:rFonts w:hint="default" w:ascii="Times New Roman" w:hAnsi="Times New Roman"/>
                <w:b w:val="false"/>
                <w:i w:val="false"/>
                <w:color w:val="000000"/>
                <w:sz w:val="24"/>
              </w:rPr>
              <w:t>☐ Другое _______________________________________________________________</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Направивший врач:</w:t>
            </w:r>
          </w:p>
          <w:p>
            <w:pPr>
              <w:spacing w:after="0"/>
              <w:ind w:left="0"/>
              <w:jc w:val="left"/>
            </w:pPr>
            <w:r>
              <w:rPr>
                <w:rFonts w:hint="default" w:ascii="Times New Roman" w:hAnsi="Times New Roman"/>
                <w:b w:val="false"/>
                <w:i w:val="false"/>
                <w:color w:val="000000"/>
                <w:sz w:val="24"/>
              </w:rPr>
              <w:t>Контактные телефоны врача:</w:t>
            </w:r>
          </w:p>
        </w:tc>
      </w:tr>
      <w:tr>
        <w:trPr>
          <w:trHeight w:val="15" w:hRule="atLeast"/>
        </w:trPr>
        <w:tc>
          <w:tcPr>
            <w:tcW w:w="40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Анамнез:</w:t>
            </w:r>
          </w:p>
          <w:p>
            <w:pPr>
              <w:spacing w:after="0"/>
              <w:ind w:left="0"/>
              <w:jc w:val="left"/>
            </w:pPr>
            <w:r>
              <w:rPr>
                <w:rFonts w:hint="default" w:ascii="Times New Roman" w:hAnsi="Times New Roman"/>
                <w:b w:val="false"/>
                <w:i w:val="false"/>
                <w:color w:val="000000"/>
                <w:sz w:val="24"/>
              </w:rPr>
              <w:t>Диабет?</w:t>
            </w:r>
          </w:p>
        </w:tc>
        <w:tc>
          <w:tcPr>
            <w:tcW w:w="113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Нет</w:t>
            </w:r>
          </w:p>
        </w:tc>
        <w:tc>
          <w:tcPr>
            <w:tcW w:w="727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Инсулин (Режим): ___________________</w:t>
            </w:r>
          </w:p>
          <w:p>
            <w:pPr>
              <w:spacing w:after="0"/>
              <w:ind w:left="0"/>
              <w:jc w:val="left"/>
            </w:pPr>
            <w:r>
              <w:rPr>
                <w:rFonts w:hint="default" w:ascii="Times New Roman" w:hAnsi="Times New Roman"/>
                <w:b w:val="false"/>
                <w:i w:val="false"/>
                <w:color w:val="000000"/>
                <w:sz w:val="24"/>
              </w:rPr>
              <w:t>☐ Пероральные гипогликемические препараты:</w:t>
            </w:r>
          </w:p>
          <w:p>
            <w:pPr>
              <w:spacing w:after="0"/>
              <w:ind w:left="0"/>
              <w:jc w:val="left"/>
            </w:pPr>
            <w:r>
              <w:rPr>
                <w:rFonts w:hint="default" w:ascii="Times New Roman" w:hAnsi="Times New Roman"/>
                <w:b w:val="false"/>
                <w:i w:val="false"/>
                <w:color w:val="000000"/>
                <w:sz w:val="24"/>
              </w:rPr>
              <w:t>_____________________________________</w:t>
            </w:r>
          </w:p>
        </w:tc>
      </w:tr>
      <w:tr>
        <w:trPr>
          <w:trHeight w:val="15" w:hRule="atLeast"/>
        </w:trPr>
        <w:tc>
          <w:tcPr>
            <w:tcW w:w="40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Астма?</w:t>
            </w:r>
          </w:p>
          <w:p>
            <w:pPr>
              <w:spacing w:after="0"/>
              <w:ind w:left="0"/>
              <w:jc w:val="left"/>
            </w:pPr>
            <w:r>
              <w:rPr>
                <w:rFonts w:hint="default" w:ascii="Times New Roman" w:hAnsi="Times New Roman"/>
                <w:b w:val="false"/>
                <w:i w:val="false"/>
                <w:color w:val="000000"/>
                <w:sz w:val="24"/>
              </w:rPr>
              <w:t>Клаустрофобия?</w:t>
            </w:r>
          </w:p>
          <w:p>
            <w:pPr>
              <w:spacing w:after="0"/>
              <w:ind w:left="0"/>
              <w:jc w:val="left"/>
            </w:pPr>
            <w:r>
              <w:rPr>
                <w:rFonts w:hint="default" w:ascii="Times New Roman" w:hAnsi="Times New Roman"/>
                <w:b w:val="false"/>
                <w:i w:val="false"/>
                <w:color w:val="000000"/>
                <w:sz w:val="24"/>
              </w:rPr>
              <w:t>Аллергия на лекарства?</w:t>
            </w:r>
          </w:p>
          <w:p>
            <w:pPr>
              <w:spacing w:after="0"/>
              <w:ind w:left="0"/>
              <w:jc w:val="left"/>
            </w:pPr>
            <w:r>
              <w:rPr>
                <w:rFonts w:hint="default" w:ascii="Times New Roman" w:hAnsi="Times New Roman"/>
                <w:b w:val="false"/>
                <w:i w:val="false"/>
                <w:color w:val="000000"/>
                <w:sz w:val="24"/>
              </w:rPr>
              <w:t>Аллергия на пищевые продукты, бытовую химию</w:t>
            </w:r>
          </w:p>
          <w:p>
            <w:pPr>
              <w:spacing w:after="0"/>
              <w:ind w:left="0"/>
              <w:jc w:val="left"/>
            </w:pPr>
            <w:r>
              <w:rPr>
                <w:rFonts w:hint="default" w:ascii="Times New Roman" w:hAnsi="Times New Roman"/>
                <w:b w:val="false"/>
                <w:i w:val="false"/>
                <w:color w:val="000000"/>
                <w:sz w:val="24"/>
              </w:rPr>
              <w:t>Аллергия на йод?</w:t>
            </w:r>
          </w:p>
          <w:p>
            <w:pPr>
              <w:spacing w:after="0"/>
              <w:ind w:left="0"/>
              <w:jc w:val="left"/>
            </w:pPr>
            <w:r>
              <w:rPr>
                <w:rFonts w:hint="default" w:ascii="Times New Roman" w:hAnsi="Times New Roman"/>
                <w:b w:val="false"/>
                <w:i w:val="false"/>
                <w:color w:val="000000"/>
                <w:sz w:val="24"/>
              </w:rPr>
              <w:t>Беременность (для женщин)?</w:t>
            </w:r>
          </w:p>
          <w:p>
            <w:pPr>
              <w:spacing w:after="0"/>
              <w:ind w:left="0"/>
              <w:jc w:val="left"/>
            </w:pPr>
            <w:r>
              <w:rPr>
                <w:rFonts w:hint="default" w:ascii="Times New Roman" w:hAnsi="Times New Roman"/>
                <w:b w:val="false"/>
                <w:i w:val="false"/>
                <w:color w:val="000000"/>
                <w:sz w:val="24"/>
              </w:rPr>
              <w:t>Кормление грудью?</w:t>
            </w:r>
          </w:p>
        </w:tc>
        <w:tc>
          <w:tcPr>
            <w:tcW w:w="113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tc>
        <w:tc>
          <w:tcPr>
            <w:tcW w:w="727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 Нет</w:t>
            </w:r>
          </w:p>
        </w:tc>
      </w:tr>
      <w:tr>
        <w:trPr>
          <w:trHeight w:val="15" w:hRule="atLeast"/>
        </w:trPr>
        <w:tc>
          <w:tcPr>
            <w:tcW w:w="40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Лабораторные данные:</w:t>
            </w:r>
          </w:p>
          <w:p>
            <w:pPr>
              <w:spacing w:after="0"/>
              <w:ind w:left="0"/>
              <w:jc w:val="left"/>
            </w:pPr>
            <w:r>
              <w:rPr>
                <w:rFonts w:hint="default" w:ascii="Times New Roman" w:hAnsi="Times New Roman"/>
                <w:b w:val="false"/>
                <w:i w:val="false"/>
                <w:color w:val="000000"/>
                <w:sz w:val="24"/>
              </w:rPr>
              <w:t>Общий анализ крови</w:t>
            </w:r>
          </w:p>
          <w:p>
            <w:pPr>
              <w:spacing w:after="0"/>
              <w:ind w:left="0"/>
              <w:jc w:val="left"/>
            </w:pPr>
            <w:r>
              <w:rPr>
                <w:rFonts w:hint="default" w:ascii="Times New Roman" w:hAnsi="Times New Roman"/>
                <w:b w:val="false"/>
                <w:i w:val="false"/>
                <w:color w:val="000000"/>
                <w:sz w:val="24"/>
              </w:rPr>
              <w:t>Биохимический анализ крови</w:t>
            </w:r>
          </w:p>
          <w:p>
            <w:pPr>
              <w:spacing w:after="0"/>
              <w:ind w:left="0"/>
              <w:jc w:val="left"/>
            </w:pPr>
            <w:r>
              <w:rPr>
                <w:rFonts w:hint="default" w:ascii="Times New Roman" w:hAnsi="Times New Roman"/>
                <w:b w:val="false"/>
                <w:i w:val="false"/>
                <w:color w:val="000000"/>
                <w:sz w:val="24"/>
              </w:rPr>
              <w:t>Креатинин</w:t>
            </w:r>
          </w:p>
          <w:p>
            <w:pPr>
              <w:spacing w:after="0"/>
              <w:ind w:left="0"/>
              <w:jc w:val="left"/>
            </w:pPr>
            <w:r>
              <w:rPr>
                <w:rFonts w:hint="default" w:ascii="Times New Roman" w:hAnsi="Times New Roman"/>
                <w:b w:val="false"/>
                <w:i w:val="false"/>
                <w:color w:val="000000"/>
                <w:sz w:val="24"/>
              </w:rPr>
              <w:t>Уровень гормонов</w:t>
            </w:r>
          </w:p>
          <w:p>
            <w:pPr>
              <w:spacing w:after="0"/>
              <w:ind w:left="0"/>
              <w:jc w:val="left"/>
            </w:pPr>
            <w:r>
              <w:rPr>
                <w:rFonts w:hint="default" w:ascii="Times New Roman" w:hAnsi="Times New Roman"/>
                <w:b w:val="false"/>
                <w:i w:val="false"/>
                <w:color w:val="000000"/>
                <w:sz w:val="24"/>
              </w:rPr>
              <w:t>Цитология</w:t>
            </w:r>
          </w:p>
        </w:tc>
        <w:tc>
          <w:tcPr>
            <w:tcW w:w="113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p>
            <w:pPr>
              <w:spacing w:after="0"/>
              <w:ind w:left="0"/>
              <w:jc w:val="left"/>
            </w:pPr>
            <w:r>
              <w:rPr>
                <w:rFonts w:hint="default" w:ascii="Times New Roman" w:hAnsi="Times New Roman"/>
                <w:b w:val="false"/>
                <w:i w:val="false"/>
                <w:color w:val="000000"/>
                <w:sz w:val="24"/>
              </w:rPr>
              <w:t>☐ Да</w:t>
            </w:r>
          </w:p>
        </w:tc>
        <w:tc>
          <w:tcPr>
            <w:tcW w:w="727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Нет Дата: _______________</w:t>
            </w:r>
          </w:p>
          <w:p>
            <w:pPr>
              <w:spacing w:after="0"/>
              <w:ind w:left="0"/>
              <w:jc w:val="left"/>
            </w:pPr>
            <w:r>
              <w:rPr>
                <w:rFonts w:hint="default" w:ascii="Times New Roman" w:hAnsi="Times New Roman"/>
                <w:b w:val="false"/>
                <w:i w:val="false"/>
                <w:color w:val="000000"/>
                <w:sz w:val="24"/>
              </w:rPr>
              <w:t>☐ Нет Дата: _______________</w:t>
            </w:r>
          </w:p>
          <w:p>
            <w:pPr>
              <w:spacing w:after="0"/>
              <w:ind w:left="0"/>
              <w:jc w:val="left"/>
            </w:pPr>
            <w:r>
              <w:rPr>
                <w:rFonts w:hint="default" w:ascii="Times New Roman" w:hAnsi="Times New Roman"/>
                <w:b w:val="false"/>
                <w:i w:val="false"/>
                <w:color w:val="000000"/>
                <w:sz w:val="24"/>
              </w:rPr>
              <w:t>Дата: ___________ Значение: ________________</w:t>
            </w:r>
          </w:p>
          <w:p>
            <w:pPr>
              <w:spacing w:after="0"/>
              <w:ind w:left="0"/>
              <w:jc w:val="left"/>
            </w:pPr>
            <w:r>
              <w:rPr>
                <w:rFonts w:hint="default" w:ascii="Times New Roman" w:hAnsi="Times New Roman"/>
                <w:b w:val="false"/>
                <w:i w:val="false"/>
                <w:color w:val="000000"/>
                <w:sz w:val="24"/>
              </w:rPr>
              <w:t>☐ Нет Дата: _________ Значение: ____________</w:t>
            </w:r>
          </w:p>
          <w:p>
            <w:pPr>
              <w:spacing w:after="0"/>
              <w:ind w:left="0"/>
              <w:jc w:val="left"/>
            </w:pPr>
            <w:r>
              <w:rPr>
                <w:rFonts w:hint="default" w:ascii="Times New Roman" w:hAnsi="Times New Roman"/>
                <w:b w:val="false"/>
                <w:i w:val="false"/>
                <w:color w:val="000000"/>
                <w:sz w:val="24"/>
              </w:rPr>
              <w:t>☐ Нет Дата: ______________</w:t>
            </w:r>
          </w:p>
          <w:p>
            <w:pPr>
              <w:spacing w:after="0"/>
              <w:ind w:left="0"/>
              <w:jc w:val="left"/>
            </w:pPr>
            <w:r>
              <w:rPr>
                <w:rFonts w:hint="default" w:ascii="Times New Roman" w:hAnsi="Times New Roman"/>
                <w:b w:val="false"/>
                <w:i w:val="false"/>
                <w:color w:val="000000"/>
                <w:sz w:val="24"/>
              </w:rPr>
              <w:t>☐ Нет</w:t>
            </w:r>
          </w:p>
          <w:p>
            <w:pPr>
              <w:spacing w:after="0"/>
              <w:ind w:left="0"/>
              <w:jc w:val="left"/>
            </w:pPr>
            <w:r>
              <w:rPr>
                <w:rFonts w:hint="default" w:ascii="Times New Roman" w:hAnsi="Times New Roman"/>
                <w:b w:val="false"/>
                <w:i w:val="false"/>
                <w:color w:val="000000"/>
                <w:sz w:val="24"/>
              </w:rPr>
              <w:t>Если ДА, локализация пункции: ________________</w:t>
            </w:r>
          </w:p>
          <w:p>
            <w:pPr>
              <w:spacing w:after="0"/>
              <w:ind w:left="0"/>
              <w:jc w:val="left"/>
            </w:pPr>
            <w:r>
              <w:rPr>
                <w:rFonts w:hint="default" w:ascii="Times New Roman" w:hAnsi="Times New Roman"/>
                <w:b w:val="false"/>
                <w:i w:val="false"/>
                <w:color w:val="000000"/>
                <w:sz w:val="24"/>
              </w:rPr>
              <w:t>Заключение: ________________________________</w:t>
            </w:r>
          </w:p>
        </w:tc>
      </w:tr>
      <w:tr>
        <w:trPr>
          <w:trHeight w:val="15" w:hRule="atLeast"/>
        </w:trPr>
        <w:tc>
          <w:tcPr>
            <w:tcW w:w="40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Гистология:</w:t>
            </w:r>
          </w:p>
        </w:tc>
        <w:tc>
          <w:tcPr>
            <w:tcW w:w="113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Да</w:t>
            </w:r>
          </w:p>
        </w:tc>
        <w:tc>
          <w:tcPr>
            <w:tcW w:w="727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Нет Дата: ______________</w:t>
            </w:r>
          </w:p>
          <w:p>
            <w:pPr>
              <w:spacing w:after="0"/>
              <w:ind w:left="0"/>
              <w:jc w:val="left"/>
            </w:pPr>
            <w:r>
              <w:rPr>
                <w:rFonts w:hint="default" w:ascii="Times New Roman" w:hAnsi="Times New Roman"/>
                <w:b w:val="false"/>
                <w:i w:val="false"/>
                <w:color w:val="000000"/>
                <w:sz w:val="24"/>
              </w:rPr>
              <w:t>Если ДА, Заключение: ____________________________________</w:t>
            </w:r>
          </w:p>
        </w:tc>
      </w:tr>
    </w:tbl>
    <w:bookmarkEnd w:id="208"/>
    <w:bookmarkStart w:name="2855888712"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Клинический обзор</w:t>
      </w:r>
    </w:p>
    <w:bookmarkEnd w:id="209"/>
    <w:bookmarkStart w:name="2855888713" w:id="210"/>
    <w:tbl>
      <w:tblPr>
        <w:tblW w:w="1180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800"/>
      </w:tblGrid>
      <w:tr>
        <w:trPr>
          <w:trHeight w:val="0" w:hRule="atLeast"/>
        </w:trPr>
        <w:tc>
          <w:tcPr>
            <w:tcW w:w="11800" w:type="dxa"/>
            <w:tcBorders/>
            <w:vAlign w:val="center"/>
          </w:tcPr>
          <w:p>
            <w:pPr>
              <w:spacing w:after="0"/>
              <w:ind w:left="0"/>
              <w:jc w:val="left"/>
            </w:pPr>
            <w:r>
              <w:rPr>
                <w:rFonts w:hint="default" w:ascii="Times New Roman" w:hAnsi="Times New Roman"/>
                <w:b w:val="false"/>
                <w:i w:val="false"/>
                <w:color w:val="000000"/>
                <w:sz w:val="24"/>
              </w:rPr>
              <w:t>Основное заболевание: _________________________________________________</w:t>
            </w:r>
          </w:p>
          <w:p>
            <w:pPr>
              <w:spacing w:after="0"/>
              <w:ind w:left="0"/>
              <w:jc w:val="left"/>
            </w:pPr>
            <w:r>
              <w:rPr>
                <w:rFonts w:hint="default" w:ascii="Times New Roman" w:hAnsi="Times New Roman"/>
                <w:b w:val="false"/>
                <w:i w:val="false"/>
                <w:color w:val="000000"/>
                <w:sz w:val="24"/>
              </w:rPr>
              <w:t>______________________________________________________________________</w:t>
            </w:r>
          </w:p>
          <w:p>
            <w:pPr>
              <w:spacing w:after="0"/>
              <w:ind w:left="0"/>
              <w:jc w:val="left"/>
            </w:pPr>
            <w:r>
              <w:rPr>
                <w:rFonts w:hint="default" w:ascii="Times New Roman" w:hAnsi="Times New Roman"/>
                <w:b w:val="false"/>
                <w:i w:val="false"/>
                <w:color w:val="000000"/>
                <w:sz w:val="24"/>
              </w:rPr>
              <w:t>Сопутствующее заболевание: ____________________________________________</w:t>
            </w:r>
          </w:p>
          <w:p>
            <w:pPr>
              <w:spacing w:after="0"/>
              <w:ind w:left="0"/>
              <w:jc w:val="left"/>
            </w:pPr>
            <w:r>
              <w:rPr>
                <w:rFonts w:hint="default" w:ascii="Times New Roman" w:hAnsi="Times New Roman"/>
                <w:b w:val="false"/>
                <w:i w:val="false"/>
                <w:color w:val="000000"/>
                <w:sz w:val="24"/>
              </w:rPr>
              <w:t>______________________________________________________________________</w:t>
            </w:r>
          </w:p>
        </w:tc>
      </w:tr>
      <w:tr>
        <w:trPr>
          <w:trHeight w:val="0" w:hRule="atLeast"/>
        </w:trPr>
        <w:tc>
          <w:tcPr>
            <w:tcW w:w="11800" w:type="dxa"/>
            <w:tcBorders/>
            <w:vAlign w:val="center"/>
          </w:tcPr>
          <w:p>
            <w:pPr>
              <w:spacing w:after="0"/>
              <w:ind w:left="0"/>
              <w:jc w:val="left"/>
            </w:pPr>
            <w:r>
              <w:rPr>
                <w:rFonts w:hint="default" w:ascii="Times New Roman" w:hAnsi="Times New Roman"/>
                <w:b w:val="false"/>
                <w:i w:val="false"/>
                <w:color w:val="000000"/>
                <w:sz w:val="24"/>
              </w:rPr>
              <w:t>Предыдущие исследования:</w:t>
            </w:r>
          </w:p>
          <w:p>
            <w:pPr>
              <w:spacing w:after="0"/>
              <w:ind w:left="0"/>
              <w:jc w:val="left"/>
            </w:pPr>
            <w:r>
              <w:rPr>
                <w:rFonts w:hint="default" w:ascii="Times New Roman" w:hAnsi="Times New Roman"/>
                <w:b w:val="false"/>
                <w:i w:val="false"/>
                <w:color w:val="000000"/>
                <w:sz w:val="24"/>
              </w:rPr>
              <w:t>МРТ Дата: __________________ Заключение: _______________________________</w:t>
            </w:r>
          </w:p>
          <w:p>
            <w:pPr>
              <w:spacing w:after="0"/>
              <w:ind w:left="0"/>
              <w:jc w:val="left"/>
            </w:pPr>
            <w:r>
              <w:rPr>
                <w:rFonts w:hint="default" w:ascii="Times New Roman" w:hAnsi="Times New Roman"/>
                <w:b w:val="false"/>
                <w:i w:val="false"/>
                <w:color w:val="000000"/>
                <w:sz w:val="24"/>
              </w:rPr>
              <w:t>КТ Дата: __________________ Заключение: _________________________________</w:t>
            </w:r>
          </w:p>
          <w:p>
            <w:pPr>
              <w:spacing w:after="0"/>
              <w:ind w:left="0"/>
              <w:jc w:val="left"/>
            </w:pPr>
            <w:r>
              <w:rPr>
                <w:rFonts w:hint="default" w:ascii="Times New Roman" w:hAnsi="Times New Roman"/>
                <w:b w:val="false"/>
                <w:i w:val="false"/>
                <w:color w:val="000000"/>
                <w:sz w:val="24"/>
              </w:rPr>
              <w:t>ПЭТ/КТ Дата: __________________ Заключение:_____________________________</w:t>
            </w:r>
          </w:p>
          <w:p>
            <w:pPr>
              <w:spacing w:after="0"/>
              <w:ind w:left="0"/>
              <w:jc w:val="left"/>
            </w:pPr>
            <w:r>
              <w:rPr>
                <w:rFonts w:hint="default" w:ascii="Times New Roman" w:hAnsi="Times New Roman"/>
                <w:b w:val="false"/>
                <w:i w:val="false"/>
                <w:color w:val="000000"/>
                <w:sz w:val="24"/>
              </w:rPr>
              <w:t>ОФЭКТ/КТ Дата: __________________ Заключение:__________________________</w:t>
            </w:r>
          </w:p>
          <w:p>
            <w:pPr>
              <w:spacing w:after="0"/>
              <w:ind w:left="0"/>
              <w:jc w:val="left"/>
            </w:pPr>
            <w:r>
              <w:rPr>
                <w:rFonts w:hint="default" w:ascii="Times New Roman" w:hAnsi="Times New Roman"/>
                <w:b w:val="false"/>
                <w:i w:val="false"/>
                <w:color w:val="000000"/>
                <w:sz w:val="24"/>
              </w:rPr>
              <w:t>Другое Дата: __________________ Заключение: ____________________________</w:t>
            </w:r>
          </w:p>
          <w:p>
            <w:pPr>
              <w:spacing w:after="0"/>
              <w:ind w:left="0"/>
              <w:jc w:val="left"/>
            </w:pPr>
            <w:r>
              <w:rPr>
                <w:rFonts w:hint="default" w:ascii="Times New Roman" w:hAnsi="Times New Roman"/>
                <w:b w:val="false"/>
                <w:i w:val="false"/>
                <w:color w:val="000000"/>
                <w:sz w:val="24"/>
              </w:rPr>
              <w:t>УЗИ Дата:___________________ Заключение: ______________________________</w:t>
            </w:r>
          </w:p>
        </w:tc>
      </w:tr>
    </w:tbl>
    <w:bookmarkEnd w:id="210"/>
    <w:bookmarkStart w:name="2855888714" w:id="211"/>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Лечение:</w:t>
            </w:r>
          </w:p>
          <w:p>
            <w:pPr>
              <w:spacing w:after="0"/>
              <w:ind w:left="0"/>
              <w:jc w:val="left"/>
            </w:pPr>
            <w:r>
              <w:rPr>
                <w:rFonts w:hint="default" w:ascii="Times New Roman" w:hAnsi="Times New Roman"/>
                <w:b w:val="false"/>
                <w:i w:val="false"/>
                <w:color w:val="000000"/>
                <w:sz w:val="24"/>
              </w:rPr>
              <w:t>☐ Операция (Дата: _____________ Наименование: __________________________________ )</w:t>
            </w:r>
          </w:p>
          <w:p>
            <w:pPr>
              <w:spacing w:after="0"/>
              <w:ind w:left="0"/>
              <w:jc w:val="left"/>
            </w:pPr>
            <w:r>
              <w:rPr>
                <w:rFonts w:hint="default" w:ascii="Times New Roman" w:hAnsi="Times New Roman"/>
                <w:b w:val="false"/>
                <w:i w:val="false"/>
                <w:color w:val="000000"/>
                <w:sz w:val="24"/>
              </w:rPr>
              <w:t>☐ Лучевая терапия (Дата окончания последнего курса: __________ Количество курсов: ____)</w:t>
            </w:r>
          </w:p>
          <w:p>
            <w:pPr>
              <w:spacing w:after="0"/>
              <w:ind w:left="0"/>
              <w:jc w:val="left"/>
            </w:pPr>
            <w:r>
              <w:rPr>
                <w:rFonts w:hint="default" w:ascii="Times New Roman" w:hAnsi="Times New Roman"/>
                <w:b w:val="false"/>
                <w:i w:val="false"/>
                <w:color w:val="000000"/>
                <w:sz w:val="24"/>
              </w:rPr>
              <w:t>☐ Химиотерапия (Дата окончания последнего курса: ____________ Количество курсов: ____)</w:t>
            </w:r>
          </w:p>
          <w:p>
            <w:pPr>
              <w:spacing w:after="0"/>
              <w:ind w:left="0"/>
              <w:jc w:val="left"/>
            </w:pPr>
            <w:r>
              <w:rPr>
                <w:rFonts w:hint="default" w:ascii="Times New Roman" w:hAnsi="Times New Roman"/>
                <w:b w:val="false"/>
                <w:i w:val="false"/>
                <w:color w:val="000000"/>
                <w:sz w:val="24"/>
              </w:rPr>
              <w:t>☐ Гормонотерапия ____________________ Вид препарата и Дата отмены ___________________</w:t>
            </w:r>
          </w:p>
          <w:p>
            <w:pPr>
              <w:spacing w:after="0"/>
              <w:ind w:left="0"/>
              <w:jc w:val="left"/>
            </w:pPr>
            <w:r>
              <w:rPr>
                <w:rFonts w:hint="default" w:ascii="Times New Roman" w:hAnsi="Times New Roman"/>
                <w:b w:val="false"/>
                <w:i w:val="false"/>
                <w:color w:val="000000"/>
                <w:sz w:val="24"/>
              </w:rPr>
              <w:t>☐ Виды терапии и (или) препараты: ____________ Вид препарата и Дата отмены _____________</w:t>
            </w:r>
          </w:p>
        </w:tc>
      </w:tr>
    </w:tbl>
    <w:bookmarkEnd w:id="211"/>
    <w:bookmarkStart w:name="2855888715" w:id="21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Врач __________ _______________________________________ (подпись) (Фамилия, имя, отчество (при его наличии)</w:t>
      </w:r>
    </w:p>
    <w:bookmarkEnd w:id="212"/>
    <w:bookmarkStart w:name="2855888716" w:id="21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Заведующий отделением __________ ______________________________________ (подпись) (Фамилия, имя, отчество (при его наличии)</w:t>
      </w:r>
    </w:p>
    <w:bookmarkEnd w:id="213"/>
    <w:bookmarkStart w:name="2855888717" w:id="21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Дата: ________________</w:t>
      </w:r>
    </w:p>
    <w:bookmarkEnd w:id="214"/>
    <w:bookmarkStart w:name="2855888718"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Место печати</w:t>
      </w:r>
    </w:p>
    <w:bookmarkEnd w:id="215"/>
    <w:bookmarkStart w:name="2855888719"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Расшифрока аббревиатур:</w:t>
      </w:r>
    </w:p>
    <w:bookmarkEnd w:id="216"/>
    <w:bookmarkStart w:name="2855888720"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МРТ – магнитно-резонансная томография</w:t>
      </w:r>
    </w:p>
    <w:bookmarkEnd w:id="217"/>
    <w:bookmarkStart w:name="2855888721"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КТ – компьютерная томография</w:t>
      </w:r>
    </w:p>
    <w:bookmarkEnd w:id="218"/>
    <w:bookmarkStart w:name="2855888722"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ПЭТ/КТ – позитронно-эмиссионная томография, совмещенная с компьютерной томографией</w:t>
      </w:r>
    </w:p>
    <w:bookmarkEnd w:id="219"/>
    <w:bookmarkStart w:name="2855888723"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ОФЭКТ/КТ – однофотонная эмиссионная компьютерная томография, совмещенная с компьютерной томографией</w:t>
      </w:r>
    </w:p>
    <w:bookmarkEnd w:id="220"/>
    <w:bookmarkStart w:name="2855888724"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УЗИ – ультразвуковое исследование</w:t>
      </w:r>
    </w:p>
    <w:bookmarkEnd w:id="221"/>
    <w:bookmarkStart w:name="2855888725" w:id="222"/>
    <w:p>
      <w:pPr>
        <w:spacing w:before="120" w:after="120" w:line="240"/>
        <w:ind w:left="0"/>
        <w:jc w:val="right"/>
      </w:pPr>
      <w:r>
        <w:rPr>
          <w:rFonts w:hint="default" w:ascii="Times New Roman" w:hAnsi="Times New Roman"/>
          <w:b/>
          <w:i w:val="false"/>
          <w:color w:val="000000"/>
          <w:sz w:val="24"/>
        </w:rPr>
        <w:t>Приложение 3</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222"/>
    <w:bookmarkStart w:name="2855888727" w:id="223"/>
    <w:p>
      <w:pPr>
        <w:spacing w:before="120" w:after="120" w:line="240"/>
        <w:ind w:left="0"/>
        <w:jc w:val="both"/>
      </w:pPr>
      <w:r>
        <w:rPr>
          <w:rFonts w:hint="default" w:ascii="Times New Roman" w:hAnsi="Times New Roman"/>
          <w:b/>
          <w:i w:val="false"/>
          <w:color w:val="000000"/>
          <w:sz w:val="24"/>
        </w:rPr>
        <w:t>Показания для проведения исследования позитронно-эмиссионной томографии, совмещенной с компьютерной томографией</w:t>
      </w:r>
    </w:p>
    <w:bookmarkEnd w:id="223"/>
    <w:bookmarkStart w:name="2855888728" w:id="224"/>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60"/>
        <w:gridCol w:w="1583"/>
        <w:gridCol w:w="5848"/>
        <w:gridCol w:w="4069"/>
      </w:tblGrid>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позитронно-эмиссионной томографии, совмещенной с компьютерной томографией (далее – ПЭТ/КТ) исследования с препаратом 18F-FDG</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Код по МКБ</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Наименование</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Цель исследования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Злокачественное новообразование (далее – ЗН) губы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С01, С02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оснований языка, других неуточненных частей языка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десны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дна полости рта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нёба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отделов рта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околоушной слюнной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слюнных желез</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миндалины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ротоглотки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носоглотки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грушевидного синуса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нижней части глотки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неточно обозначенных локализаций губы, полости рта и глотки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пищевода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желудка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тонкого кишечника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ободочной кишки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ректосигмоидного соединения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прямой кишки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заднего прохода (ануса) и анального канала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распространенности.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Печеночно-клеточный рак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С22.1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Холангиокарцинома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желчного пузыря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частей желчевыводящих путей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поджелудочной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неточно обозначенных органов пищеварения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полости носа и среднего уха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придаточных пазух</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гортани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трахеи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бронхов и легкого</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вилочковой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сердца, средостения и плевры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неточно обозначенных локализаций органов дыхания и внутригрудных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С40, С41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костей и суставных хрящей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Злокачественная меланома кожи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ЗН кожи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С45, С46,</w:t>
            </w:r>
          </w:p>
          <w:p>
            <w:pPr>
              <w:spacing w:after="0"/>
              <w:ind w:left="0"/>
              <w:jc w:val="left"/>
            </w:pPr>
            <w:r>
              <w:rPr>
                <w:rFonts w:hint="default" w:ascii="Times New Roman" w:hAnsi="Times New Roman"/>
                <w:b w:val="false"/>
                <w:i w:val="false"/>
                <w:color w:val="000000"/>
                <w:sz w:val="24"/>
              </w:rPr>
              <w:t>С47, С48,</w:t>
            </w:r>
          </w:p>
          <w:p>
            <w:pPr>
              <w:spacing w:after="0"/>
              <w:ind w:left="0"/>
              <w:jc w:val="left"/>
            </w:pPr>
            <w:r>
              <w:rPr>
                <w:rFonts w:hint="default" w:ascii="Times New Roman" w:hAnsi="Times New Roman"/>
                <w:b w:val="false"/>
                <w:i w:val="false"/>
                <w:color w:val="000000"/>
                <w:sz w:val="24"/>
              </w:rPr>
              <w:t>С49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мезотелиальной и мягких тканей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молочной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вульвы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влагалища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шейки матки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тела матки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неуточненной локализации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яичника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женских половых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плаценты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полового члена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предстательной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яичка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мужских половых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почки, кроме почечной лоханки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почечных лоханок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мочеточника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мочевого пузыря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мочевых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глаза и его придаточного аппарата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мозговых оболочек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головного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спинного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щитовидной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надпочечника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эндокринных желез и родственных структур</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С76, С77,</w:t>
            </w:r>
          </w:p>
          <w:p>
            <w:pPr>
              <w:spacing w:after="0"/>
              <w:ind w:left="0"/>
              <w:jc w:val="left"/>
            </w:pPr>
            <w:r>
              <w:rPr>
                <w:rFonts w:hint="default" w:ascii="Times New Roman" w:hAnsi="Times New Roman"/>
                <w:b w:val="false"/>
                <w:i w:val="false"/>
                <w:color w:val="000000"/>
                <w:sz w:val="24"/>
              </w:rPr>
              <w:t>С78, С79,</w:t>
            </w:r>
          </w:p>
          <w:p>
            <w:pPr>
              <w:spacing w:after="0"/>
              <w:ind w:left="0"/>
              <w:jc w:val="left"/>
            </w:pPr>
            <w:r>
              <w:rPr>
                <w:rFonts w:hint="default" w:ascii="Times New Roman" w:hAnsi="Times New Roman"/>
                <w:b w:val="false"/>
                <w:i w:val="false"/>
                <w:color w:val="000000"/>
                <w:sz w:val="24"/>
              </w:rPr>
              <w:t>С80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неточно обозначенных, вторичных и неуточненных локализаций (Метастазы без выявленного первичного очага)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Лимфома (болезнь) Ходжкина (лимфогранулематоз)</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Фолликулярная (нодулярная) неходжкинская лимфома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Диффузная неходжкинская лимфома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Периферические и кожные Т-клеточные лимфомы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и неуточненные типы неходжкинской лимфомы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Злокачественные иммунопролиферативные болезни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С90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Множественная миелома и злокачественные плазмоклеточные новообразования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полости рта пищевода и желудка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других и неуточненных органов пищеварения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среднего ухо и органов дыхания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Меланома in situ</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кожи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молочной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шейки матки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других и неуточненных половых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D09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in situ других и неуточненных локализаций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 полости рта и органов пищеварения.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 среднего ухо, органов дыхания и грудной клетки.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D38.1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Новообразование неопределенного и неизвестного характера трахеи, бронхов легкого (пациенты с выявленным на компьютерной томографии очагом или очагами с солидным компонентом размером более 8 миллиметров без признаков доброкачественности, при условии отсутствия выявленного онкологического процесса)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Дифференциальная диагностика злокачественных и доброкачественных образований</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 женских половых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D40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 мужских половых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D41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 мочевых органов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G40.1</w:t>
            </w:r>
          </w:p>
          <w:p>
            <w:pPr>
              <w:spacing w:after="0"/>
              <w:ind w:left="0"/>
              <w:jc w:val="left"/>
            </w:pPr>
            <w:r>
              <w:rPr>
                <w:rFonts w:hint="default" w:ascii="Times New Roman" w:hAnsi="Times New Roman"/>
                <w:b w:val="false"/>
                <w:i w:val="false"/>
                <w:color w:val="000000"/>
                <w:sz w:val="24"/>
              </w:rPr>
              <w:t>G40.4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Локализованная (фокальная) (парциальная) симптоматическая эпилепсия и эпилептические синдромы с простыми парциальными припадками. Другие виды генерализованной эпилепсии и эпилептических синдромов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эпилептогенного очага для предхирургической подготовки.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I63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Инфаркт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Определение степени повреждения мозговой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R50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Лихорадка неясного происхождения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причины лихорадки</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 18F-NaF</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Первичный гиперпаратиреоз</w:t>
            </w:r>
          </w:p>
          <w:p>
            <w:pPr>
              <w:spacing w:after="0"/>
              <w:ind w:left="0"/>
              <w:jc w:val="left"/>
            </w:pPr>
            <w:r>
              <w:rPr>
                <w:rFonts w:hint="default" w:ascii="Times New Roman" w:hAnsi="Times New Roman"/>
                <w:b w:val="false"/>
                <w:i w:val="false"/>
                <w:color w:val="000000"/>
                <w:sz w:val="24"/>
              </w:rPr>
              <w:t>Гиперплазия паращитовидных желез Остеодистрофия фиброзная генерализованная (костная болезнь Реклингхаузена)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Вторичный гиперпаратиреоз, не классифицированный в других рубриках</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гиперпаратиреоза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Гиперпаратиреоз неуточненный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уточненные нарушения паращитовидной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паращитовидных желез неуточненная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Остеомаляция у взрослых</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Первичное стадирование.</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диффузным зобом</w:t>
            </w:r>
          </w:p>
          <w:p>
            <w:pPr>
              <w:spacing w:after="0"/>
              <w:ind w:left="0"/>
              <w:jc w:val="left"/>
            </w:pPr>
            <w:r>
              <w:rPr>
                <w:rFonts w:hint="default" w:ascii="Times New Roman" w:hAnsi="Times New Roman"/>
                <w:b w:val="false"/>
                <w:i w:val="false"/>
                <w:color w:val="000000"/>
                <w:sz w:val="24"/>
              </w:rPr>
              <w:t>Экзофтальмический или токсический зоб, без дальнейших указаний (далее -БДУ) Болезнь Грейвса Диффузный токсический зоб</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токсическим одноузловым зобом</w:t>
            </w:r>
          </w:p>
          <w:p>
            <w:pPr>
              <w:spacing w:after="0"/>
              <w:ind w:left="0"/>
              <w:jc w:val="left"/>
            </w:pPr>
            <w:r>
              <w:rPr>
                <w:rFonts w:hint="default" w:ascii="Times New Roman" w:hAnsi="Times New Roman"/>
                <w:b w:val="false"/>
                <w:i w:val="false"/>
                <w:color w:val="000000"/>
                <w:sz w:val="24"/>
              </w:rPr>
              <w:t>Тиреотоксикоз с токсическим мононодозным зобом</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токсическим многоузловым зобом</w:t>
            </w:r>
          </w:p>
          <w:p>
            <w:pPr>
              <w:spacing w:after="0"/>
              <w:ind w:left="0"/>
              <w:jc w:val="left"/>
            </w:pPr>
            <w:r>
              <w:rPr>
                <w:rFonts w:hint="default" w:ascii="Times New Roman" w:hAnsi="Times New Roman"/>
                <w:b w:val="false"/>
                <w:i w:val="false"/>
                <w:color w:val="000000"/>
                <w:sz w:val="24"/>
              </w:rPr>
              <w:t>Токсический узловой зоб БДУ</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эктопией тиреоидной ткани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 05.4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искусственный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тиреотоксикоза</w:t>
            </w:r>
          </w:p>
          <w:p>
            <w:pPr>
              <w:spacing w:after="0"/>
              <w:ind w:left="0"/>
              <w:jc w:val="left"/>
            </w:pPr>
            <w:r>
              <w:rPr>
                <w:rFonts w:hint="default" w:ascii="Times New Roman" w:hAnsi="Times New Roman"/>
                <w:b w:val="false"/>
                <w:i w:val="false"/>
                <w:color w:val="000000"/>
                <w:sz w:val="24"/>
              </w:rPr>
              <w:t>Гиперсекреция тиреостимулирующего гормона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неуточненный</w:t>
            </w:r>
          </w:p>
          <w:p>
            <w:pPr>
              <w:spacing w:after="0"/>
              <w:ind w:left="0"/>
              <w:jc w:val="left"/>
            </w:pPr>
            <w:r>
              <w:rPr>
                <w:rFonts w:hint="default" w:ascii="Times New Roman" w:hAnsi="Times New Roman"/>
                <w:b w:val="false"/>
                <w:i w:val="false"/>
                <w:color w:val="000000"/>
                <w:sz w:val="24"/>
              </w:rPr>
              <w:t>Гипертиреоидизм БДУ Тиреотоксическая болезнь сердца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D56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Талассемия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костей и суставных хрящей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процесса. 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Педжета (костей) [деформирующий остеит]</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M85.0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Фиброзная дисплазия (избирательная, одной кости)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Q78.1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Полиостозная фиброзная дисплазия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C.40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костей и суставных хрящей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S00-S99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Травмы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Идиопатический асептический некроз кости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Остеонекроз, обусловленный перенесенной травмой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Другой вторичный остеонекроз</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Другой остеонекроз</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M87.9</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Остеонекроз неуточненный</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M86.0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Острый гематогенный остеомиелит</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M86.1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острого остеомиелита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S92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Перелом стопы исключая перелом голеностопного сустава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изменений в костях.</w:t>
            </w:r>
          </w:p>
          <w:p>
            <w:pPr>
              <w:spacing w:after="0"/>
              <w:ind w:left="0"/>
              <w:jc w:val="left"/>
            </w:pPr>
            <w:r>
              <w:rPr>
                <w:rFonts w:hint="default" w:ascii="Times New Roman" w:hAnsi="Times New Roman"/>
                <w:b w:val="false"/>
                <w:i w:val="false"/>
                <w:color w:val="000000"/>
                <w:sz w:val="24"/>
              </w:rPr>
              <w:t>Поиск мелких переломов. Оценка регенерации костной ткани.</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 18F-FCH</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предстательной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распространенности до лечения, первичное стадирование. Контроль лечения.</w:t>
            </w:r>
          </w:p>
          <w:p>
            <w:pPr>
              <w:spacing w:after="0"/>
              <w:ind w:left="0"/>
              <w:jc w:val="left"/>
            </w:pPr>
            <w:r>
              <w:rPr>
                <w:rFonts w:hint="default" w:ascii="Times New Roman" w:hAnsi="Times New Roman"/>
                <w:b w:val="false"/>
                <w:i w:val="false"/>
                <w:color w:val="000000"/>
                <w:sz w:val="24"/>
              </w:rPr>
              <w:t>Выявление рецидивов после радикального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D37.6</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неизвестного или неопределенного характера печени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Дифференировка доброкачественного поражения печени от злокачественного.</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C22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печени и внутрипеченочных желчных протоков</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Оценка распространенности первичного процесса.</w:t>
            </w:r>
          </w:p>
          <w:p>
            <w:pPr>
              <w:spacing w:after="0"/>
              <w:ind w:left="0"/>
              <w:jc w:val="left"/>
            </w:pPr>
            <w:r>
              <w:rPr>
                <w:rFonts w:hint="default" w:ascii="Times New Roman" w:hAnsi="Times New Roman"/>
                <w:b w:val="false"/>
                <w:i w:val="false"/>
                <w:color w:val="000000"/>
                <w:sz w:val="24"/>
              </w:rPr>
              <w:t>Выявление рецидивов после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головного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Определение первичной опухоли. Оценка эффективности проведенного лечения. Планирование лучевой терапии. Дифференциальная диагностика рецидива и послеоперационных изменений.</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 18F-FET</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мозговых оболочек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головного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спинного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С76, С77,</w:t>
            </w:r>
          </w:p>
          <w:p>
            <w:pPr>
              <w:spacing w:after="0"/>
              <w:ind w:left="0"/>
              <w:jc w:val="left"/>
            </w:pPr>
            <w:r>
              <w:rPr>
                <w:rFonts w:hint="default" w:ascii="Times New Roman" w:hAnsi="Times New Roman"/>
                <w:b w:val="false"/>
                <w:i w:val="false"/>
                <w:color w:val="000000"/>
                <w:sz w:val="24"/>
              </w:rPr>
              <w:t>С78, С79,</w:t>
            </w:r>
          </w:p>
          <w:p>
            <w:pPr>
              <w:spacing w:after="0"/>
              <w:ind w:left="0"/>
              <w:jc w:val="left"/>
            </w:pPr>
            <w:r>
              <w:rPr>
                <w:rFonts w:hint="default" w:ascii="Times New Roman" w:hAnsi="Times New Roman"/>
                <w:b w:val="false"/>
                <w:i w:val="false"/>
                <w:color w:val="000000"/>
                <w:sz w:val="24"/>
              </w:rPr>
              <w:t>С80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неточно обозначенных, вторичных и неуточненных локализаций (Метастазы без выявленного первичного очага)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мозговых оболочек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головного мозга и других отделов центральной нервной системы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 18F-FLT</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Лимфома (болезнь) Ходжкина (лимфогранулематоз)</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Фолликулярная (нодулярная) неходжкинская лимфома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Диффузная неходжкинская лимфома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Периферические и кожные Т-клеточные лимфомы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и неуточненные типы неходжкинской лимфомы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Злокачественные иммунопролиферативные болезни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С90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Множественная миелома и злокачественные плазмоклеточные новообразования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 11С-МЕТ</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мозговых оболочек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 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головного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спинного мозга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 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С76, С77,</w:t>
            </w:r>
          </w:p>
          <w:p>
            <w:pPr>
              <w:spacing w:after="0"/>
              <w:ind w:left="0"/>
              <w:jc w:val="left"/>
            </w:pPr>
            <w:r>
              <w:rPr>
                <w:rFonts w:hint="default" w:ascii="Times New Roman" w:hAnsi="Times New Roman"/>
                <w:b w:val="false"/>
                <w:i w:val="false"/>
                <w:color w:val="000000"/>
                <w:sz w:val="24"/>
              </w:rPr>
              <w:t>С78, С79,</w:t>
            </w:r>
          </w:p>
          <w:p>
            <w:pPr>
              <w:spacing w:after="0"/>
              <w:ind w:left="0"/>
              <w:jc w:val="left"/>
            </w:pPr>
            <w:r>
              <w:rPr>
                <w:rFonts w:hint="default" w:ascii="Times New Roman" w:hAnsi="Times New Roman"/>
                <w:b w:val="false"/>
                <w:i w:val="false"/>
                <w:color w:val="000000"/>
                <w:sz w:val="24"/>
              </w:rPr>
              <w:t>С80</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неточно обозначенных, вторичных и неуточненных локализаций (Метастазы без выявленного первичного очага)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мозговых оболочек</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головного мозга и других отделов центральной нервной системы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Поиск первичного очага.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 68Ga-PSMA</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С61</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предстательной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Показания для проведения ПЭТ/КТ исследования с препаратом</w:t>
            </w:r>
          </w:p>
          <w:p>
            <w:pPr>
              <w:spacing w:after="0"/>
              <w:ind w:left="0"/>
              <w:jc w:val="left"/>
            </w:pPr>
            <w:r>
              <w:rPr>
                <w:rFonts w:hint="default" w:ascii="Times New Roman" w:hAnsi="Times New Roman"/>
                <w:b w:val="false"/>
                <w:i w:val="false"/>
                <w:color w:val="000000"/>
                <w:sz w:val="24"/>
              </w:rPr>
              <w:t>68Gа-DOTA, 18F-DOPA</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144</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С73</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щитовидной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145</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надпочечника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146</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С75</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эндокринных желез и родственных структур</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147</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D44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 эндокринных желез</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Первичная диагностика.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148</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D35.4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Аденома шишковидной железы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Первичная диагностика.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149</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 17</w:t>
            </w:r>
          </w:p>
          <w:p>
            <w:pPr>
              <w:spacing w:after="0"/>
              <w:ind w:left="0"/>
              <w:jc w:val="left"/>
            </w:pPr>
            <w:r>
              <w:rPr>
                <w:rFonts w:hint="default" w:ascii="Times New Roman" w:hAnsi="Times New Roman"/>
                <w:b w:val="false"/>
                <w:i w:val="false"/>
                <w:color w:val="000000"/>
                <w:sz w:val="24"/>
              </w:rPr>
              <w:t>С25.4</w:t>
            </w:r>
          </w:p>
          <w:p>
            <w:pPr>
              <w:spacing w:after="0"/>
              <w:ind w:left="0"/>
              <w:jc w:val="left"/>
            </w:pPr>
            <w:r>
              <w:rPr>
                <w:rFonts w:hint="default" w:ascii="Times New Roman" w:hAnsi="Times New Roman"/>
                <w:b w:val="false"/>
                <w:i w:val="false"/>
                <w:color w:val="000000"/>
                <w:sz w:val="24"/>
              </w:rPr>
              <w:t>Е16.8</w:t>
            </w:r>
          </w:p>
          <w:p>
            <w:pPr>
              <w:spacing w:after="0"/>
              <w:ind w:left="0"/>
              <w:jc w:val="left"/>
            </w:pPr>
            <w:r>
              <w:rPr>
                <w:rFonts w:hint="default" w:ascii="Times New Roman" w:hAnsi="Times New Roman"/>
                <w:b w:val="false"/>
                <w:i w:val="false"/>
                <w:color w:val="000000"/>
                <w:sz w:val="24"/>
              </w:rPr>
              <w:t>В13.7</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Гастроэнтеропанкреатические опухоли</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Е27.5</w:t>
            </w:r>
          </w:p>
          <w:p>
            <w:pPr>
              <w:spacing w:after="0"/>
              <w:ind w:left="0"/>
              <w:jc w:val="left"/>
            </w:pPr>
            <w:r>
              <w:rPr>
                <w:rFonts w:hint="default" w:ascii="Times New Roman" w:hAnsi="Times New Roman"/>
                <w:b w:val="false"/>
                <w:i w:val="false"/>
                <w:color w:val="000000"/>
                <w:sz w:val="24"/>
              </w:rPr>
              <w:t>С47</w:t>
            </w:r>
          </w:p>
          <w:p>
            <w:pPr>
              <w:spacing w:after="0"/>
              <w:ind w:left="0"/>
              <w:jc w:val="left"/>
            </w:pPr>
            <w:r>
              <w:rPr>
                <w:rFonts w:hint="default" w:ascii="Times New Roman" w:hAnsi="Times New Roman"/>
                <w:b w:val="false"/>
                <w:i w:val="false"/>
                <w:color w:val="000000"/>
                <w:sz w:val="24"/>
              </w:rPr>
              <w:t>D33.9</w:t>
            </w:r>
          </w:p>
          <w:p>
            <w:pPr>
              <w:spacing w:after="0"/>
              <w:ind w:left="0"/>
              <w:jc w:val="left"/>
            </w:pPr>
            <w:r>
              <w:rPr>
                <w:rFonts w:hint="default" w:ascii="Times New Roman" w:hAnsi="Times New Roman"/>
                <w:b w:val="false"/>
                <w:i w:val="false"/>
                <w:color w:val="000000"/>
                <w:sz w:val="24"/>
              </w:rPr>
              <w:t>D35.0</w:t>
            </w:r>
          </w:p>
          <w:p>
            <w:pPr>
              <w:spacing w:after="0"/>
              <w:ind w:left="0"/>
              <w:jc w:val="left"/>
            </w:pPr>
            <w:r>
              <w:rPr>
                <w:rFonts w:hint="default" w:ascii="Times New Roman" w:hAnsi="Times New Roman"/>
                <w:b w:val="false"/>
                <w:i w:val="false"/>
                <w:color w:val="000000"/>
                <w:sz w:val="24"/>
              </w:rPr>
              <w:t>D35.6</w:t>
            </w:r>
          </w:p>
          <w:p>
            <w:pPr>
              <w:spacing w:after="0"/>
              <w:ind w:left="0"/>
              <w:jc w:val="left"/>
            </w:pPr>
            <w:r>
              <w:rPr>
                <w:rFonts w:hint="default" w:ascii="Times New Roman" w:hAnsi="Times New Roman"/>
                <w:b w:val="false"/>
                <w:i w:val="false"/>
                <w:color w:val="000000"/>
                <w:sz w:val="24"/>
              </w:rPr>
              <w:t>D35.8</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Опухоли симпатоадреналовой системы</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Первичная диагностика.</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151</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Карцинома из клеток Меркеля</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152</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С34</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Мелкоклеточный рак легкого</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Первичное стадирование.</w:t>
            </w:r>
          </w:p>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r>
        <w:trPr>
          <w:trHeight w:val="15" w:hRule="atLeast"/>
        </w:trPr>
        <w:tc>
          <w:tcPr>
            <w:tcW w:w="9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153</w:t>
            </w:r>
          </w:p>
        </w:tc>
        <w:tc>
          <w:tcPr>
            <w:tcW w:w="158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D32</w:t>
            </w:r>
          </w:p>
        </w:tc>
        <w:tc>
          <w:tcPr>
            <w:tcW w:w="5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Менингиома</w:t>
            </w:r>
          </w:p>
        </w:tc>
        <w:tc>
          <w:tcPr>
            <w:tcW w:w="4069"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Выявление прогрессирования.</w:t>
            </w:r>
          </w:p>
          <w:p>
            <w:pPr>
              <w:spacing w:after="0"/>
              <w:ind w:left="0"/>
              <w:jc w:val="left"/>
            </w:pPr>
            <w:r>
              <w:rPr>
                <w:rFonts w:hint="default" w:ascii="Times New Roman" w:hAnsi="Times New Roman"/>
                <w:b w:val="false"/>
                <w:i w:val="false"/>
                <w:color w:val="000000"/>
                <w:sz w:val="24"/>
              </w:rPr>
              <w:t>Контроль лечения</w:t>
            </w:r>
          </w:p>
        </w:tc>
      </w:tr>
    </w:tbl>
    <w:bookmarkEnd w:id="224"/>
    <w:bookmarkStart w:name="2855888729"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Приложение 4</w:t>
      </w:r>
    </w:p>
    <w:bookmarkEnd w:id="225"/>
    <w:bookmarkStart w:name="2855888730"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Стандарту организации оказания медицинской помощи в области ядерной медицины населению Республики Казахстан</w:t>
      </w:r>
    </w:p>
    <w:bookmarkEnd w:id="226"/>
    <w:bookmarkStart w:name="2855888731" w:id="227"/>
    <w:p>
      <w:pPr>
        <w:spacing w:before="120" w:after="120" w:line="240"/>
        <w:ind w:left="0"/>
        <w:jc w:val="both"/>
      </w:pPr>
      <w:r>
        <w:rPr>
          <w:rFonts w:hint="default" w:ascii="Times New Roman" w:hAnsi="Times New Roman"/>
          <w:b/>
          <w:i w:val="false"/>
          <w:color w:val="000000"/>
          <w:sz w:val="24"/>
        </w:rPr>
        <w:t>Показания для проведения исследования однофотонной эмиссионной компьютерной томографией, сцинтиграфии с препаратами на основе технеция-99</w:t>
      </w:r>
    </w:p>
    <w:bookmarkEnd w:id="227"/>
    <w:bookmarkStart w:name="2855888732" w:id="228"/>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03"/>
        <w:gridCol w:w="4613"/>
        <w:gridCol w:w="2114"/>
        <w:gridCol w:w="4630"/>
      </w:tblGrid>
      <w:tr>
        <w:trPr>
          <w:trHeight w:val="15" w:hRule="atLeast"/>
        </w:trPr>
        <w:tc>
          <w:tcPr>
            <w:tcW w:w="110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w:t>
            </w:r>
          </w:p>
        </w:tc>
        <w:tc>
          <w:tcPr>
            <w:tcW w:w="461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Наименование исследования</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Код МКБ</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Наименования</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головного мозга</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Злокачественное новообразование (далее – ЗН) головного мозга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D43-D43.2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Новообразование неопределенного и неизвестного характера головного мозга и центральной нервной системы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F00-F03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Органические, включая симптоматические, психические расстройства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F20-F20.9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Шизофрения, шизофренические и бредовые расстройства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G30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Альцгеймера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G20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Паркинсона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I10- I15.9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Эссенциальная (первичная) гипертензия; Вторичная гипертензия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I60- I70.0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Цереброваскулярные болезни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S06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Внутричерепная травма</w:t>
            </w:r>
          </w:p>
        </w:tc>
      </w:tr>
      <w:tr>
        <w:trPr>
          <w:trHeight w:val="15" w:hRule="atLeast"/>
        </w:trPr>
        <w:tc>
          <w:tcPr>
            <w:tcW w:w="110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461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головного мозга при поиске эпилептоидного очага</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G40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Эпилепсия</w:t>
            </w:r>
          </w:p>
          <w:p>
            <w:pPr>
              <w:spacing w:after="0"/>
              <w:ind w:left="0"/>
              <w:jc w:val="left"/>
            </w:pPr>
            <w:r>
              <w:rPr>
                <w:rFonts w:hint="default" w:ascii="Times New Roman" w:hAnsi="Times New Roman"/>
                <w:b w:val="false"/>
                <w:i w:val="false"/>
                <w:color w:val="000000"/>
                <w:sz w:val="24"/>
              </w:rPr>
              <w:t>Исключены: синдром Ландау-Клеффнера синдром Ландау-Клеффнера (F80.3) судорожный припадок БДУ (R56.8) эпилептический статус (G41.-) паралич Тодда (G83.8)</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слезных протоков</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Дакриоаденит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болезни слезной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Эпифора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Хроническое воспаление слезных протоков</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Стеноз и недостаточность слезных протоков</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изменения слезных протоков</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болезни слезного аппарата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Н04.9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слезного аппарата неуточненная</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слюнных желез</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 11.0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Атрофия слюнной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 11.1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Гипертрофия слюнной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К11.2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Сиалоденит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К11.5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Сиалолитиаз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 11.7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Нарушение секреции слюнных желез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 11.8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болезни слюнных желез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К11.9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слюнной железы неуточненная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D11.0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образование околоушной слюнной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 11.7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образование других больших слюнных желез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D11.9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образование большой слюнной железы неуточненное</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 07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околоушной слюнной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С06.9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малой слюнной железы неуточненной локализации полости рта БДУ</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М35.0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Синдром сухости (синдром Шегрена)</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щитовидной железы</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Болезни щитовидной железы, связанные с йодной недостаточностью, и сходные состояния (Заболевания йод-дефицитные, Зоб эндемический);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Субклинический гипотиреоз вследствие йодной недостаточности (Гипотиреоз, Заболевания йод-дефицитные);</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гипотиреоза;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нетоксического зоба;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(Гипертиреоз, Зоб узловой токсический, Зоб диффузный токсический);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Тиреоидит (Тиреоидит, Тиреоидит подострый, Тиреоидит хронический аутоиммунный);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щитовидной железы (Опухоли щитовидной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щитовидной железы</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паращитовидных желез</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Гиперпаратиреоз и другие нарушения паращитовидной [околощитовидной] железы (Гиперпаратиреоз);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паращитовидной [околощитовидной]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D35.1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паращитовидной [околощитовидной] железы.</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перфузии миокарда</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Стенокардия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Повторный инфаркт миокарда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24.8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острой ишемической болезни сердца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24.9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Острая ишемическая болезнь сердца неуточненная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Хроническая ишемическая болезнь сердца</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Равновесная радиоизотопная вентрикулография левого желудочка сердца</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I20-I2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Ишемическая болезнь сердца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I35.1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Аортальная (клапанная) недостаточность</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I42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Кардиомиопатия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Сердечная недостаточность</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Последующее обследование после химиотерапии ЗН</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I26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Легочная эмболия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Z08.2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Последующее обследование после химиотерапии ЗН</w:t>
            </w:r>
          </w:p>
        </w:tc>
      </w:tr>
      <w:tr>
        <w:trPr>
          <w:trHeight w:val="15" w:hRule="atLeast"/>
        </w:trPr>
        <w:tc>
          <w:tcPr>
            <w:tcW w:w="110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461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молочных желез</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молочной железы</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легких</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Легочная эмболия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26.0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Легочная эмболия с упоминанием об остром легочном сердце</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26.9</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Легочная эмболия без упоминания об остром легочном сердце</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27.0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Первичная легочная гипертензия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 28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болезни легочных сосудов</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J95.1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Острая легочная недостаточность после торакального оперативного вмешательства</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новообразования легких</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трахеи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 34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бронхов и легких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С38.1-С38.4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средостения и плевры</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статическая и однофотонная эмиссионная компьютерная томография, совмещенная с компьютерной томографией гепатобилиарной системы</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K70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Алкогольная болезнь печени (цирроз, гепатит)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K71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Токсическое поражение печени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K76.6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Портальная гипертензия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K74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Фиброз и цирроз печени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D13.4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Опухоли печени первичные доброкачественные</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динамическая гепатобилиарной системы</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K80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Желчнокаменная болезнь</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K81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Холецистит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K83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болезни желчевыводящих путей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K87*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Поражения желчного пузыря, желчевыводящих путей и поджелудочной железы при болезнях, классифицированных в других рубриках</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динамическая почек</w:t>
            </w:r>
          </w:p>
          <w:p>
            <w:pPr>
              <w:spacing w:after="0"/>
              <w:ind w:left="0"/>
              <w:jc w:val="left"/>
            </w:pPr>
            <w:r>
              <w:rPr>
                <w:rFonts w:hint="default" w:ascii="Times New Roman" w:hAnsi="Times New Roman"/>
                <w:b w:val="false"/>
                <w:i w:val="false"/>
                <w:color w:val="000000"/>
                <w:sz w:val="24"/>
              </w:rPr>
              <w:t>DTPA</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N00-N08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Гломерулярные болезни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N20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Камни почек и мочеточника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Агенезия и другие редукционные дефекты почек</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Врожденные нарушения проходимости почечной лоханки и врожденные аномалии мочеточника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врожденные аномалии почки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I15.1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Реноваскулярная гипертензия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I70.1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Атеросклероз почечной артерии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T86.1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Отмирание и отторжение траспланта почки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Z94.0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Наличие трансплантированной почки</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почек</w:t>
            </w:r>
          </w:p>
          <w:p>
            <w:pPr>
              <w:spacing w:after="0"/>
              <w:ind w:left="0"/>
              <w:jc w:val="left"/>
            </w:pPr>
            <w:r>
              <w:rPr>
                <w:rFonts w:hint="default" w:ascii="Times New Roman" w:hAnsi="Times New Roman"/>
                <w:b w:val="false"/>
                <w:i w:val="false"/>
                <w:color w:val="000000"/>
                <w:sz w:val="24"/>
              </w:rPr>
              <w:t>DMSA</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N28.0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Ишемия или инфаркт почки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N28.1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Киста почки, приобретенная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N10-N16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Тубулоинтерстициальные болезни почек</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Q63.0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Добавочная почка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Q63.1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Слившаяся, дольчатая и подковообразная почка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Q63.2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Эктопическая почка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Z94.0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Пересаженная почка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Q61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Кистозная болезнь почек</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статическая скелета и однофотонная эмиссионная компьютерная томография, совмещенная с компьютерной томографией костно-суставной системы</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Гиперпаратиреоз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Остеомаляция у взрослых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D56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Талассемия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костей и суставных хрящей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Педжета (костей) [деформирующий остеит]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Фиброзная дисплазия (избирательная, одной кости)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Q78.1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Полиостозная фиброзная дисплазия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С00-С97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Злокачественные новообразования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C.40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костей и суставных хрящей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C79.5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Вторичное ЗН костей и</w:t>
            </w:r>
          </w:p>
          <w:p>
            <w:pPr>
              <w:spacing w:after="0"/>
              <w:ind w:left="0"/>
              <w:jc w:val="left"/>
            </w:pPr>
            <w:r>
              <w:rPr>
                <w:rFonts w:hint="default" w:ascii="Times New Roman" w:hAnsi="Times New Roman"/>
                <w:b w:val="false"/>
                <w:i w:val="false"/>
                <w:color w:val="000000"/>
                <w:sz w:val="24"/>
              </w:rPr>
              <w:t>костного мозга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D37 - 48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S92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Перелом стопы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Остеонекроз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M86.0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Острый гематогенный остеомиелит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M86.1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острого остеомиелита</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Сцинтиграфия 3-фазная костно-суставной системы (одна анатомическая зона)</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E21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Гиперпаратиреоз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Остеомаляция у взрослых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Q78.1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Полиостозная фиброзная дисплазия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С00-С97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Злокачественные новообразования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C.40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костей и суставных хрящей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C79.5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Вторичное ЗН костей и костного мозга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D37 - 48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Новообразования неопределенного или неизвестного характера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S92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Перелом стопы.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Остеонекроз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M86.0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Острый гематогенный остеомиелит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M86.1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формы острого остеомиелита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D56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Талассемия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костей и суставных хрящей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Педжета (костей) [деформирующий остеит]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M85.0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Фиброзная дисплазия (избирательная, одной кости)</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моторно-эвакуаторной функции желудка</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K21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Гастроэзофагеальный. Эзофагит</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K31.0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Острое расширение желудка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K31.1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Гипертрофический пилоростеноз у взрослых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K31.2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Стриктура в виде песочных часов и стеноз желудка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K31.3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Пилороспазм, не классифицированный в других рубриках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K31.4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Дивертикул желудка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K57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Дивертикулярная болезнь кишечника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K59.0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Запор</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K59.1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Функциональная диарея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K59.2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Неврогенная возбудимость кишечника, не классифицированная в других рубриках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K59.3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Мегаколон, не классифицированный в других рубриках</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D13.0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пищевода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D13.1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желудка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D13.2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двенадцатиперстной кишки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K20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Эзофагит</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нейроэндокринных заболеваний</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С-74.1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мозгового слоя надпочечника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С47</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периферических нервов головы, лица шеи</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С17, С17.1, С17.2, С 17.8, С17.9, С18, С18.0, С18.2-С18.9, С19,</w:t>
            </w:r>
          </w:p>
          <w:p>
            <w:pPr>
              <w:spacing w:after="0"/>
              <w:ind w:left="0"/>
              <w:jc w:val="left"/>
            </w:pPr>
            <w:r>
              <w:rPr>
                <w:rFonts w:hint="default" w:ascii="Times New Roman" w:hAnsi="Times New Roman"/>
                <w:b w:val="false"/>
                <w:i w:val="false"/>
                <w:color w:val="000000"/>
                <w:sz w:val="24"/>
              </w:rPr>
              <w:t>С18.5, С18.6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органов пищеварения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 43- С 44</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ЗН кожи (карцинома Меркеля)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С70.0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оболочек головного мозга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головного мозга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щитовидной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С75.1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гипофиза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С81-С85</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лимфоидной, кроветворной и родственных им тканей</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D32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Доброкачественное новообразование мозговых оболочек</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 35.2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Аденома гипофиза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D 44.8</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Поражение более чем одной эндокринной железы</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лимфопролиферативных заболеваний</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 81</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Ходжкина (лимфогранулематоз).</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 82</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Фолликулярная (нодулярная) неходжкинская лимфома</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С96</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и неуточненные ЗН лимфоидной, кроветворной и родственной им тканей неуточненное</w:t>
            </w:r>
          </w:p>
        </w:tc>
      </w:tr>
      <w:tr>
        <w:trPr>
          <w:trHeight w:val="15" w:hRule="atLeast"/>
        </w:trPr>
        <w:tc>
          <w:tcPr>
            <w:tcW w:w="110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w:t>
            </w:r>
          </w:p>
        </w:tc>
        <w:tc>
          <w:tcPr>
            <w:tcW w:w="4613"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обнаружения сторожевых лимфатических узлов при раке молочной железы и меланоме</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молочной железы</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С43</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Злокачественная меланома кожи</w:t>
            </w:r>
          </w:p>
        </w:tc>
      </w:tr>
      <w:tr>
        <w:trPr>
          <w:trHeight w:val="15" w:hRule="atLeast"/>
        </w:trPr>
        <w:tc>
          <w:tcPr>
            <w:tcW w:w="110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w:t>
            </w:r>
          </w:p>
        </w:tc>
        <w:tc>
          <w:tcPr>
            <w:tcW w:w="461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Лимфосцинтиграфия</w:t>
            </w:r>
          </w:p>
        </w:tc>
        <w:tc>
          <w:tcPr>
            <w:tcW w:w="21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I97</w:t>
            </w:r>
          </w:p>
          <w:p>
            <w:pPr>
              <w:spacing w:after="0"/>
              <w:ind w:left="0"/>
              <w:jc w:val="left"/>
            </w:pPr>
            <w:r>
              <w:rPr>
                <w:rFonts w:hint="default" w:ascii="Times New Roman" w:hAnsi="Times New Roman"/>
                <w:b w:val="false"/>
                <w:i w:val="false"/>
                <w:color w:val="000000"/>
                <w:sz w:val="24"/>
              </w:rPr>
              <w:t>I89.0</w:t>
            </w:r>
          </w:p>
          <w:p>
            <w:pPr>
              <w:spacing w:after="0"/>
              <w:ind w:left="0"/>
              <w:jc w:val="left"/>
            </w:pPr>
            <w:r>
              <w:rPr>
                <w:rFonts w:hint="default" w:ascii="Times New Roman" w:hAnsi="Times New Roman"/>
                <w:b w:val="false"/>
                <w:i w:val="false"/>
                <w:color w:val="000000"/>
                <w:sz w:val="24"/>
              </w:rPr>
              <w:t>I89.1</w:t>
            </w:r>
          </w:p>
          <w:p>
            <w:pPr>
              <w:spacing w:after="0"/>
              <w:ind w:left="0"/>
              <w:jc w:val="left"/>
            </w:pPr>
            <w:r>
              <w:rPr>
                <w:rFonts w:hint="default" w:ascii="Times New Roman" w:hAnsi="Times New Roman"/>
                <w:b w:val="false"/>
                <w:i w:val="false"/>
                <w:color w:val="000000"/>
                <w:sz w:val="24"/>
              </w:rPr>
              <w:t>I89.8</w:t>
            </w:r>
          </w:p>
          <w:p>
            <w:pPr>
              <w:spacing w:after="0"/>
              <w:ind w:left="0"/>
              <w:jc w:val="left"/>
            </w:pPr>
            <w:r>
              <w:rPr>
                <w:rFonts w:hint="default" w:ascii="Times New Roman" w:hAnsi="Times New Roman"/>
                <w:b w:val="false"/>
                <w:i w:val="false"/>
                <w:color w:val="000000"/>
                <w:sz w:val="24"/>
              </w:rPr>
              <w:t>I89.9</w:t>
            </w:r>
          </w:p>
          <w:p>
            <w:pPr>
              <w:spacing w:after="0"/>
              <w:ind w:left="0"/>
              <w:jc w:val="left"/>
            </w:pPr>
            <w:r>
              <w:rPr>
                <w:rFonts w:hint="default" w:ascii="Times New Roman" w:hAnsi="Times New Roman"/>
                <w:b w:val="false"/>
                <w:i w:val="false"/>
                <w:color w:val="000000"/>
                <w:sz w:val="24"/>
              </w:rPr>
              <w:t>Q82.0</w:t>
            </w:r>
          </w:p>
        </w:tc>
        <w:tc>
          <w:tcPr>
            <w:tcW w:w="46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Лимфостаз неясного генеза</w:t>
            </w:r>
          </w:p>
        </w:tc>
      </w:tr>
    </w:tbl>
    <w:bookmarkEnd w:id="228"/>
    <w:bookmarkStart w:name="2855888733" w:id="229"/>
    <w:p>
      <w:pPr>
        <w:spacing w:before="120" w:after="120" w:line="240"/>
        <w:ind w:left="0"/>
        <w:jc w:val="right"/>
      </w:pPr>
      <w:r>
        <w:rPr>
          <w:rFonts w:hint="default" w:ascii="Times New Roman" w:hAnsi="Times New Roman"/>
          <w:b/>
          <w:i w:val="false"/>
          <w:color w:val="000000"/>
          <w:sz w:val="24"/>
        </w:rPr>
        <w:t>Приложение 5</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229"/>
    <w:bookmarkStart w:name="2855888735" w:id="23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Форма</w:t>
      </w:r>
    </w:p>
    <w:bookmarkEnd w:id="230"/>
    <w:bookmarkStart w:name="2855888736" w:id="231"/>
    <w:p>
      <w:pPr>
        <w:spacing w:before="120" w:after="120" w:line="240"/>
        <w:ind w:left="0"/>
        <w:jc w:val="both"/>
      </w:pPr>
      <w:r>
        <w:rPr>
          <w:rFonts w:hint="default" w:ascii="Times New Roman" w:hAnsi="Times New Roman"/>
          <w:b/>
          <w:i w:val="false"/>
          <w:color w:val="000000"/>
          <w:sz w:val="24"/>
        </w:rPr>
        <w:t>Информированное согласие пациента на проведение исследования на позитронно-эмиссионном томографе, совмещенном с компьютерным томографом, позитронно-эмиссионном томографе, совмещенном с магнитно-резонансным томографом</w:t>
      </w:r>
    </w:p>
    <w:bookmarkEnd w:id="231"/>
    <w:bookmarkStart w:name="2855888737"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информированное согласие на проведение радиоизотопного (радионуклидного) исследования с указанием активности используемого радиофармацевтического лекарственного препарата (далее - РФЛП) по формам, согласно</w:t>
      </w:r>
    </w:p>
    <w:bookmarkEnd w:id="232"/>
    <w:bookmarkStart w:name="2855888738" w:id="23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Я,_______________________________. _____________________________________________________________________, (Фамилия, имя, отчество (при его наличии)</w:t>
      </w:r>
    </w:p>
    <w:bookmarkEnd w:id="233"/>
    <w:bookmarkStart w:name="2855888739" w:id="23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____/____/_______года рождения, даю добровольное информированное согласие на проведение мне предстоящего диагностического исследования Позитронно-эмиссионная томография, совмещенная с компьютерной томографией</w:t>
      </w:r>
    </w:p>
    <w:bookmarkEnd w:id="234"/>
    <w:bookmarkStart w:name="2855888740" w:id="23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w:t>
      </w:r>
    </w:p>
    <w:bookmarkEnd w:id="235"/>
    <w:bookmarkStart w:name="2855888741" w:id="23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(Подпись пациента)</w:t>
      </w:r>
    </w:p>
    <w:bookmarkEnd w:id="236"/>
    <w:bookmarkStart w:name="2855888742" w:id="237"/>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Данный раздел заполняется только на инвалидов и других лиц с ограниченными возможностями:</w:t>
            </w:r>
          </w:p>
          <w:p>
            <w:pPr>
              <w:spacing w:after="0"/>
              <w:ind w:left="0"/>
              <w:jc w:val="left"/>
            </w:pPr>
            <w:r>
              <w:rPr>
                <w:rFonts w:hint="default" w:ascii="Times New Roman" w:hAnsi="Times New Roman"/>
                <w:b w:val="false"/>
                <w:i w:val="false"/>
                <w:color w:val="000000"/>
                <w:sz w:val="24"/>
              </w:rPr>
              <w:t>Я, __________________________________________________________________,</w:t>
            </w:r>
          </w:p>
        </w:tc>
      </w:tr>
    </w:tbl>
    <w:bookmarkEnd w:id="237"/>
    <w:bookmarkStart w:name="2855888743" w:id="23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(Фамилия, имя, отчество (при его наличии)</w:t>
      </w:r>
    </w:p>
    <w:bookmarkEnd w:id="238"/>
    <w:bookmarkStart w:name="2855888744" w:id="239"/>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документа, удостоверяющего личность__________________, вид документа,</w:t>
            </w:r>
          </w:p>
          <w:p>
            <w:pPr>
              <w:spacing w:after="0"/>
              <w:ind w:left="0"/>
              <w:jc w:val="left"/>
            </w:pPr>
            <w:r>
              <w:rPr>
                <w:rFonts w:hint="default" w:ascii="Times New Roman" w:hAnsi="Times New Roman"/>
                <w:b w:val="false"/>
                <w:i w:val="false"/>
                <w:color w:val="000000"/>
                <w:sz w:val="24"/>
              </w:rPr>
              <w:t>удостоверяющего личность __________________</w:t>
            </w:r>
          </w:p>
          <w:p>
            <w:pPr>
              <w:spacing w:after="0"/>
              <w:ind w:left="0"/>
              <w:jc w:val="left"/>
            </w:pPr>
            <w:r>
              <w:rPr>
                <w:rFonts w:hint="default" w:ascii="Times New Roman" w:hAnsi="Times New Roman"/>
                <w:b w:val="false"/>
                <w:i w:val="false"/>
                <w:color w:val="000000"/>
                <w:sz w:val="24"/>
              </w:rPr>
              <w:t>выдано: _______________________________________________,</w:t>
            </w:r>
          </w:p>
          <w:p>
            <w:pPr>
              <w:spacing w:after="0"/>
              <w:ind w:left="0"/>
              <w:jc w:val="left"/>
            </w:pPr>
            <w:r>
              <w:rPr>
                <w:rFonts w:hint="default" w:ascii="Times New Roman" w:hAnsi="Times New Roman"/>
                <w:b w:val="false"/>
                <w:i w:val="false"/>
                <w:color w:val="000000"/>
                <w:sz w:val="24"/>
              </w:rPr>
              <w:t>являюсь законным представителем (мать, отец, опекун, попечитель, другое (уточнить)______________): _______________________________________________________, ___/____/_______год</w:t>
            </w:r>
          </w:p>
        </w:tc>
      </w:tr>
    </w:tbl>
    <w:bookmarkEnd w:id="239"/>
    <w:bookmarkStart w:name="2855888745" w:id="24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(Фамилия, имя, отчество (при его наличии), дата рождения пациента)</w:t>
      </w:r>
    </w:p>
    <w:bookmarkEnd w:id="240"/>
    <w:bookmarkStart w:name="2855888746"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даю добровольное информированное согласие на проведение ему (ей) предстоящего диагностического исследования:</w:t>
      </w:r>
    </w:p>
    <w:bookmarkEnd w:id="241"/>
    <w:bookmarkStart w:name="2855888747" w:id="24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42"/>
    <w:bookmarkStart w:name="2855888748" w:id="24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 (Подпись законного представителя)</w:t>
      </w:r>
    </w:p>
    <w:bookmarkEnd w:id="243"/>
    <w:bookmarkStart w:name="2855888749" w:id="24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Я согласен(а) на внутривенное введение мне радиофармацевтического лекарственного препарата __________________________ дозой _________ МБк, с учетом моей массы тела _____ кг. (__________________________)</w:t>
      </w:r>
    </w:p>
    <w:bookmarkEnd w:id="244"/>
    <w:bookmarkStart w:name="2855888750" w:id="24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 (Подпись пациента)</w:t>
      </w:r>
    </w:p>
    <w:bookmarkEnd w:id="245"/>
    <w:bookmarkStart w:name="2855888751"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Позитронно-эмиссионная томография, совмещенная с компьютерной томографией (далее-ПЭТ/КТ), позитронно-эмиссионная томография, совмещенная с магнитно-резонансной томографией (далее-ПЭТ/МРТ) - современный высокотехнологичный метод диагностики, объединяющий два вида обследования: позитронно - эмиссионную томографию и компьютерную томографию, либо позитронно - эмиссионную томографию и магнитно-резонансную томографию. Этот метод диагностики дает возможность своевременного получения полной и объективной информации о локализации и размерах первичной опухоли и распространенности процесса, что определяет стадию опухолевого процесса, и выбор адекватной тактики лечения.</w:t>
      </w:r>
    </w:p>
    <w:bookmarkEnd w:id="246"/>
    <w:bookmarkStart w:name="2855888752" w:id="24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Общее время пребывания пациента в блоке ядерной медицины в день проведения исследования составляет в среднем ______ часов, включая подготовку к исследованию.</w:t>
      </w:r>
    </w:p>
    <w:bookmarkEnd w:id="247"/>
    <w:bookmarkStart w:name="2855888753" w:id="24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Для проведения исследования пациенту внутривенно вводится РФЛП, доза которого рассчитывается индивидуально в соответствии с массой тела. Период полураспада РФЛП ________ составляет ____________ и полностью выводится из организма в течение ____________.</w:t>
      </w:r>
    </w:p>
    <w:bookmarkEnd w:id="248"/>
    <w:bookmarkStart w:name="2855888754"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Показания к проведению ПЭТ/КТ, ПЭТ/МРТ исследования:</w:t>
      </w:r>
    </w:p>
    <w:bookmarkEnd w:id="249"/>
    <w:bookmarkStart w:name="2855888755"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диагностика и дифференциальная диагностика опухолей различной локализации;</w:t>
      </w:r>
    </w:p>
    <w:bookmarkEnd w:id="250"/>
    <w:bookmarkStart w:name="2855888756"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определение распространенности опухолевого заболевания;</w:t>
      </w:r>
    </w:p>
    <w:bookmarkEnd w:id="251"/>
    <w:bookmarkStart w:name="2855888757"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оценка эффективности проводимого лечения;</w:t>
      </w:r>
    </w:p>
    <w:bookmarkEnd w:id="252"/>
    <w:bookmarkStart w:name="2855888758"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выявление продолженного роста и местного рецидива заболевания;</w:t>
      </w:r>
    </w:p>
    <w:bookmarkEnd w:id="253"/>
    <w:bookmarkStart w:name="2855888759"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поиск и оценка первичного очага.</w:t>
      </w:r>
    </w:p>
    <w:bookmarkEnd w:id="254"/>
    <w:bookmarkStart w:name="2855888760"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Абсолютные противопоказания к проведению ПЭТ/КТ, ПЭТ/МРТ исследования:</w:t>
      </w:r>
    </w:p>
    <w:bookmarkEnd w:id="255"/>
    <w:bookmarkStart w:name="2855888761" w:id="25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56"/>
    <w:bookmarkStart w:name="2855888762" w:id="25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57"/>
    <w:bookmarkStart w:name="2855888763"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Относительные противопоказания к проведению ПЭТ/КТ исследования:</w:t>
      </w:r>
    </w:p>
    <w:bookmarkEnd w:id="258"/>
    <w:bookmarkStart w:name="2855888764" w:id="25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59"/>
    <w:bookmarkStart w:name="2855888765" w:id="26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60"/>
    <w:bookmarkStart w:name="2855888766"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Ограничения для проведения диагностики:</w:t>
      </w:r>
    </w:p>
    <w:bookmarkEnd w:id="261"/>
    <w:bookmarkStart w:name="2855888767" w:id="26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62"/>
    <w:bookmarkStart w:name="2855888768" w:id="26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63"/>
    <w:bookmarkStart w:name="2855888769"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Возможные осложнения и последствия:</w:t>
      </w:r>
    </w:p>
    <w:bookmarkEnd w:id="264"/>
    <w:bookmarkStart w:name="2855888770"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ходе исследования для получения дополнительной информации возможно проведение исследования с внутривенным и (или) пероральным введением йодсодержащего контрастного препарата. Данные диагностические лекарственные средства считаются достаточно безопасными, однако, при наличии у пациента индивидуальной непереносимости препарата, после инъекции возможно возникновение побочных эффектов (тошнота, рвота, чихание, перепады артериального давления) или аллергические реакции.</w:t>
      </w:r>
    </w:p>
    <w:bookmarkEnd w:id="265"/>
    <w:bookmarkStart w:name="2855888771" w:id="26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ПЭТ/КТ, ПЭТ/МРТ исследование связано с воздействием ионизирующего излучения, которое не является опасным для организма человека. Средняя эффективная эквивалентная доза на пациента при стандартном ПЭТ/КТ, ПЭТ/МРТ исследовании составляет от ___ до ____ мЗв.</w:t>
      </w:r>
    </w:p>
    <w:bookmarkEnd w:id="266"/>
    <w:bookmarkStart w:name="2855888772"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Альтернативными методами исследования являются лучевые методы исследования, такие как:, мультиспиральная компьютерная томография (МСКТ), ультразвуковое исследование (УЗИ), эхокардиоскопия (ЭхоКС), вентрикулография, электроэнцефалография (ЭЭГ). Данные лучевые методы исследования уступают в точности оценки функционального состояния органов и систем, и в определении распространенности онкологического процесса, не оценивают метаболическую активность органов и структур. При диагностике костных метастазов альтернативным методом является ОФЭКТ/КТ (остеосцинтиграфия). Недостатком данного метода по сравнению с ПЭТ/КТ является невозможность визуализации внутренних органов организма.</w:t>
      </w:r>
    </w:p>
    <w:bookmarkEnd w:id="267"/>
    <w:bookmarkStart w:name="2855888773"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проведения ПЭТ/КТ, ПЭТ/МРТ исследования:</w:t>
      </w:r>
    </w:p>
    <w:bookmarkEnd w:id="268"/>
    <w:bookmarkStart w:name="2855888774" w:id="26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69"/>
    <w:bookmarkStart w:name="2855888775" w:id="27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70"/>
    <w:bookmarkStart w:name="2855888776" w:id="27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71"/>
    <w:bookmarkStart w:name="2855888777" w:id="27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72"/>
    <w:bookmarkStart w:name="2855888778" w:id="27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73"/>
    <w:bookmarkStart w:name="2855888779" w:id="27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274"/>
    <w:bookmarkStart w:name="2855888780"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Мне разъяснено содержание указанных медицинских действий, связанных с введением РФЛП и проведением ПЭТ/КТ, ПЭТ/МРТ исследования.</w:t>
      </w:r>
    </w:p>
    <w:bookmarkEnd w:id="275"/>
    <w:bookmarkStart w:name="2855888781" w:id="276"/>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согласен(а) на внутривенное введение йодсодержащего контрастного препарата.</w:t>
      </w:r>
    </w:p>
    <w:bookmarkEnd w:id="276"/>
    <w:bookmarkStart w:name="2855888782" w:id="277"/>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отказываюсь от внутривенного введения йодсодержащего контрастного препарата.</w:t>
      </w:r>
    </w:p>
    <w:bookmarkEnd w:id="277"/>
    <w:bookmarkStart w:name="2855888783"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обязуюсь после проведенной процедуры, соблюдать меры по обеспечению безопасности здоровья окружающих меня людей, а именно:</w:t>
      </w:r>
    </w:p>
    <w:bookmarkEnd w:id="278"/>
    <w:bookmarkStart w:name="2855888784"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течение дня употреблять больше жидкости для ускорения выведения препарата из организма;</w:t>
      </w:r>
    </w:p>
    <w:bookmarkEnd w:id="279"/>
    <w:bookmarkStart w:name="2855888785"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ограничить контакт и общение с детьми младше 16 лет, беременными и кормящими женщинами, больными людьми.</w:t>
      </w:r>
    </w:p>
    <w:bookmarkEnd w:id="280"/>
    <w:bookmarkStart w:name="2855888786" w:id="28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 (Подпись пациента)</w:t>
      </w:r>
    </w:p>
    <w:bookmarkEnd w:id="281"/>
    <w:bookmarkStart w:name="2855888787" w:id="282"/>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не возражаю против использования моего результата исследования для</w:t>
      </w:r>
    </w:p>
    <w:bookmarkEnd w:id="282"/>
    <w:bookmarkStart w:name="2855888788" w:id="283"/>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формирования базы данных, научной и педагогической деятельности с целью повышения качества оказания медицинской помощи.</w:t>
      </w:r>
    </w:p>
    <w:bookmarkEnd w:id="283"/>
    <w:bookmarkStart w:name="2855888789" w:id="284"/>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поставил(а) в известность врача обо всех проблемах, связанных со здоровьем, наследственностью,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том числе носительстве ВИЧ-инфекции, вирусных гепатитах, туберкулезе, инфекциях, передаваемых половым путем, принимаемых лекарственных средствах.</w:t>
      </w:r>
    </w:p>
    <w:bookmarkEnd w:id="284"/>
    <w:bookmarkStart w:name="2855888790" w:id="285"/>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В настоящее время я полностью отрицаю возможную беременность и грудное вскармливание ребенка (для женщин).</w:t>
      </w:r>
    </w:p>
    <w:bookmarkEnd w:id="285"/>
    <w:bookmarkStart w:name="2855888791" w:id="28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 (Подпись пациента)</w:t>
      </w:r>
    </w:p>
    <w:bookmarkEnd w:id="286"/>
    <w:bookmarkStart w:name="2855888792"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Я доверяю врачу и его коллегам принимать решения и выполнять любые медицинские действия, которые врач сочтет необходимым для улучшения моего состояния здоровья.</w:t>
      </w:r>
    </w:p>
    <w:bookmarkEnd w:id="287"/>
    <w:bookmarkStart w:name="2855888793"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Я имел(а) возможность задавать любые вопросы медицинскому персоналу и на все вопросы получил(а) исчерпывающие ответы.</w:t>
      </w:r>
    </w:p>
    <w:bookmarkEnd w:id="288"/>
    <w:bookmarkStart w:name="2855888794"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Содержание настоящего документа мною прочитано, разъяснено мне врачом, оно полностью мне понятно, что я удостоверил(а) своей подписью.</w:t>
      </w:r>
    </w:p>
    <w:bookmarkEnd w:id="289"/>
    <w:bookmarkStart w:name="2855888795" w:id="290"/>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070"/>
        <w:gridCol w:w="3134"/>
        <w:gridCol w:w="6256"/>
      </w:tblGrid>
      <w:tr>
        <w:trPr>
          <w:trHeight w:val="15" w:hRule="atLeast"/>
        </w:trPr>
        <w:tc>
          <w:tcPr>
            <w:tcW w:w="307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w:t>
            </w:r>
          </w:p>
        </w:tc>
        <w:tc>
          <w:tcPr>
            <w:tcW w:w="31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 (Подпись)</w:t>
            </w:r>
          </w:p>
        </w:tc>
        <w:tc>
          <w:tcPr>
            <w:tcW w:w="62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______________________________ (Фамилия, имя, отчество (при его наличии)</w:t>
            </w:r>
          </w:p>
        </w:tc>
      </w:tr>
      <w:tr>
        <w:trPr>
          <w:trHeight w:val="15" w:hRule="atLeast"/>
        </w:trPr>
        <w:tc>
          <w:tcPr>
            <w:tcW w:w="307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 радиоизотопной диагностики</w:t>
            </w:r>
          </w:p>
        </w:tc>
        <w:tc>
          <w:tcPr>
            <w:tcW w:w="31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 (Подпись)</w:t>
            </w:r>
          </w:p>
        </w:tc>
        <w:tc>
          <w:tcPr>
            <w:tcW w:w="625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______________________________ (Фамилия, имя, отчество (при его наличии)</w:t>
            </w:r>
          </w:p>
        </w:tc>
      </w:tr>
      <w:tr>
        <w:trPr>
          <w:trHeight w:val="15" w:hRule="atLeast"/>
        </w:trPr>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Дата: «___» ____________ 20___ год</w:t>
            </w:r>
          </w:p>
        </w:tc>
        <w:tc>
          <w:tcPr>
            <w:tcW w:w="625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307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Время: ____ час ____ минут</w:t>
            </w:r>
          </w:p>
        </w:tc>
        <w:tc>
          <w:tcPr>
            <w:tcW w:w="3134" w:type="dxa"/>
            <w:tcBorders>
              <w:top w:val="single" w:color="000000" w:sz="8"/>
              <w:left w:val="single" w:color="000000" w:sz="8"/>
              <w:bottom w:val="single" w:color="000000" w:sz="8"/>
              <w:right w:val="single" w:color="000000" w:sz="8"/>
            </w:tcBorders>
            <w:vAlign w:val="center"/>
          </w:tcPr>
          <w:p>
            <w:pPr>
              <w:spacing w:after="0"/>
              <w:ind w:left="0"/>
              <w:jc w:val="left"/>
            </w:pPr>
          </w:p>
        </w:tc>
        <w:tc>
          <w:tcPr>
            <w:tcW w:w="6256" w:type="dxa"/>
            <w:tcBorders>
              <w:top w:val="single" w:color="000000" w:sz="8"/>
              <w:left w:val="single" w:color="000000" w:sz="8"/>
              <w:bottom w:val="single" w:color="000000" w:sz="8"/>
              <w:right w:val="single" w:color="000000" w:sz="8"/>
            </w:tcBorders>
            <w:vAlign w:val="center"/>
          </w:tcPr>
          <w:p>
            <w:pPr>
              <w:spacing w:after="0"/>
              <w:ind w:left="0"/>
              <w:jc w:val="left"/>
            </w:pPr>
          </w:p>
        </w:tc>
      </w:tr>
    </w:tbl>
    <w:bookmarkEnd w:id="290"/>
    <w:bookmarkStart w:name="2855888796"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Форма</w:t>
      </w:r>
    </w:p>
    <w:bookmarkEnd w:id="291"/>
    <w:bookmarkStart w:name="2855888797" w:id="292"/>
    <w:p>
      <w:pPr>
        <w:spacing w:before="120" w:after="120" w:line="240"/>
        <w:ind w:left="0"/>
        <w:jc w:val="both"/>
      </w:pPr>
      <w:r>
        <w:rPr>
          <w:rFonts w:hint="default" w:ascii="Times New Roman" w:hAnsi="Times New Roman"/>
          <w:b/>
          <w:i w:val="false"/>
          <w:color w:val="000000"/>
          <w:sz w:val="24"/>
        </w:rPr>
        <w:t>Информированное согласие пациента на проведение исследования на однофотонном эмиссионном компьютерном томографе или однофотонном эмиссионном компьютерном томографе, совмещенном с компьютерным томографом</w:t>
      </w:r>
    </w:p>
    <w:bookmarkEnd w:id="292"/>
    <w:bookmarkStart w:name="2855888798" w:id="29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Я,_______________________________________________________________ Фамилия, имя, отчество (при его наличии) пациента) ____/____/_______год рождения, даю добровольное информированное согласие на проведение мне предстоящего диагностического исследования: ______________________________________________________________________ ______________________________________________________________________.</w:t>
      </w:r>
    </w:p>
    <w:bookmarkEnd w:id="293"/>
    <w:bookmarkStart w:name="2855888799" w:id="294"/>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Данный раздел заполняется только на лиц с ограниченными функциональными возможностями:</w:t>
            </w:r>
          </w:p>
          <w:p>
            <w:pPr>
              <w:spacing w:after="0"/>
              <w:ind w:left="0"/>
              <w:jc w:val="left"/>
            </w:pPr>
            <w:r>
              <w:rPr>
                <w:rFonts w:hint="default" w:ascii="Times New Roman" w:hAnsi="Times New Roman"/>
                <w:b w:val="false"/>
                <w:i w:val="false"/>
                <w:color w:val="000000"/>
                <w:sz w:val="24"/>
              </w:rPr>
              <w:t>Я, ___________________________________________________________,</w:t>
            </w:r>
          </w:p>
        </w:tc>
      </w:tr>
    </w:tbl>
    <w:bookmarkEnd w:id="294"/>
    <w:bookmarkStart w:name="2855888800" w:id="29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(Фамилия, имя, отчество (при его наличии)</w:t>
      </w:r>
    </w:p>
    <w:bookmarkEnd w:id="295"/>
    <w:bookmarkStart w:name="2855888801" w:id="296"/>
    <w:tbl>
      <w:tblPr>
        <w:tblW w:w="1164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640"/>
      </w:tblGrid>
      <w:tr>
        <w:trPr>
          <w:trHeight w:val="15" w:hRule="atLeast"/>
        </w:trPr>
        <w:tc>
          <w:tcPr>
            <w:tcW w:w="116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документа, удостоверяющего личность__________________, вид документа,</w:t>
            </w:r>
          </w:p>
          <w:p>
            <w:pPr>
              <w:spacing w:after="0"/>
              <w:ind w:left="0"/>
              <w:jc w:val="left"/>
            </w:pPr>
            <w:r>
              <w:rPr>
                <w:rFonts w:hint="default" w:ascii="Times New Roman" w:hAnsi="Times New Roman"/>
                <w:b w:val="false"/>
                <w:i w:val="false"/>
                <w:color w:val="000000"/>
                <w:sz w:val="24"/>
              </w:rPr>
              <w:t>удостоверяющего личность __________________ выдано: ___________________,</w:t>
            </w:r>
          </w:p>
          <w:p>
            <w:pPr>
              <w:spacing w:after="0"/>
              <w:ind w:left="0"/>
              <w:jc w:val="left"/>
            </w:pPr>
            <w:r>
              <w:rPr>
                <w:rFonts w:hint="default" w:ascii="Times New Roman" w:hAnsi="Times New Roman"/>
                <w:b w:val="false"/>
                <w:i w:val="false"/>
                <w:color w:val="000000"/>
                <w:sz w:val="24"/>
              </w:rPr>
              <w:t>являюсь законным представителем (мать, отец, опекун, попечитель, другое</w:t>
            </w:r>
          </w:p>
          <w:p>
            <w:pPr>
              <w:spacing w:after="0"/>
              <w:ind w:left="0"/>
              <w:jc w:val="left"/>
            </w:pPr>
            <w:r>
              <w:rPr>
                <w:rFonts w:hint="default" w:ascii="Times New Roman" w:hAnsi="Times New Roman"/>
                <w:b w:val="false"/>
                <w:i w:val="false"/>
                <w:color w:val="000000"/>
                <w:sz w:val="24"/>
              </w:rPr>
              <w:t>(уточнить) ______________):</w:t>
            </w:r>
          </w:p>
          <w:p>
            <w:pPr>
              <w:spacing w:after="0"/>
              <w:ind w:left="0"/>
              <w:jc w:val="left"/>
            </w:pPr>
            <w:r>
              <w:rPr>
                <w:rFonts w:hint="default" w:ascii="Times New Roman" w:hAnsi="Times New Roman"/>
                <w:b w:val="false"/>
                <w:i w:val="false"/>
                <w:color w:val="000000"/>
                <w:sz w:val="24"/>
              </w:rPr>
              <w:t>___________________________________________________, ___/____/_______год</w:t>
            </w:r>
          </w:p>
        </w:tc>
      </w:tr>
    </w:tbl>
    <w:bookmarkEnd w:id="296"/>
    <w:bookmarkStart w:name="2855888802" w:id="29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(Фамилия, имя, отчество (при его наличии), дата рождения пациента</w:t>
      </w:r>
    </w:p>
    <w:bookmarkEnd w:id="297"/>
    <w:bookmarkStart w:name="2855888803" w:id="298"/>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460"/>
      </w:tblGrid>
      <w:tr>
        <w:trPr>
          <w:trHeight w:val="15" w:hRule="atLeast"/>
        </w:trPr>
        <w:tc>
          <w:tcPr>
            <w:tcW w:w="1246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даю добровольное информированное согласие на проведение ему (ей) предстоящего диагностического исследования:</w:t>
            </w:r>
          </w:p>
          <w:p>
            <w:pPr>
              <w:spacing w:after="0"/>
              <w:ind w:left="0"/>
              <w:jc w:val="left"/>
            </w:pPr>
            <w:r>
              <w:rPr>
                <w:rFonts w:hint="default" w:ascii="Times New Roman" w:hAnsi="Times New Roman"/>
                <w:b w:val="false"/>
                <w:i w:val="false"/>
                <w:color w:val="000000"/>
                <w:sz w:val="24"/>
              </w:rPr>
              <w:t>____________________________________________________________________</w:t>
            </w:r>
          </w:p>
          <w:p>
            <w:pPr>
              <w:spacing w:after="0"/>
              <w:ind w:left="0"/>
              <w:jc w:val="left"/>
            </w:pPr>
            <w:r>
              <w:rPr>
                <w:rFonts w:hint="default" w:ascii="Times New Roman" w:hAnsi="Times New Roman"/>
                <w:b w:val="false"/>
                <w:i w:val="false"/>
                <w:color w:val="000000"/>
                <w:sz w:val="24"/>
              </w:rPr>
              <w:t>____________________________________________________________________.</w:t>
            </w:r>
          </w:p>
        </w:tc>
      </w:tr>
    </w:tbl>
    <w:bookmarkEnd w:id="298"/>
    <w:bookmarkStart w:name="2855888804" w:id="29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Я согласен (а) на внутривенное введение мне меченого радиофармацевтического лекарственного препарата _________________ дозой ______ МБк, с учетом моей массы тела _____ килограмм и видом проводимого исследования</w:t>
      </w:r>
    </w:p>
    <w:bookmarkEnd w:id="299"/>
    <w:bookmarkStart w:name="2855888805" w:id="30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w:t>
      </w:r>
    </w:p>
    <w:bookmarkEnd w:id="300"/>
    <w:bookmarkStart w:name="2855888806" w:id="30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(Подпись пациента)</w:t>
      </w:r>
    </w:p>
    <w:bookmarkEnd w:id="301"/>
    <w:bookmarkStart w:name="2855888807"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Однофотонная эмиссионная компьютерная томография, совмещенная с компьютерной томографией (далее – ОФЭКТ/КТ) – новая перспективная гибридная технология в диагностике поражений внутренних органов и систем. Исследование ОФЭКТ/КТ позволяет: точнее определить наличие или отсутствие патологических изменений, оценить степень их выраженности, корректировать тактику лечения и оценить эффективность проведенной терапии, дает дополнительную информацию при планировании хирургического вмешательства. Преимуществами ОФЭКТ/КТ исследования являются способность отражать патофизиологические процессы в органах и системах организма в динамике, а также низкая лучевая нагрузка на пациента.</w:t>
      </w:r>
    </w:p>
    <w:bookmarkEnd w:id="302"/>
    <w:bookmarkStart w:name="2855888808" w:id="30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Общее время пребывания пациента в отделении в день исследования, включая подготовку к исследованию, составляет от _______ часов до 5 часов (и более) в зависимости от вида исследования.</w:t>
      </w:r>
    </w:p>
    <w:bookmarkEnd w:id="303"/>
    <w:bookmarkStart w:name="2855888809" w:id="30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Для проведения однофотонной эмиссионной компьютерной томографии (далее-ОФЭКТ), ОФЭКТ/КТ исследования пациенту внутривенно вводится радиофармацевтический лекарственный препарат (далее – РФЛП) на основе __________________, доза которого рассчитывается индивидуально, в соответствии с массой тела и видом исследования и не является опасной для здоровья человека. Фармацевтический препарат меченный ___________ полностью выводится из организма в течение ___________. Применяемые радиофармацевтические лекарственные препараты являются гипоаллергенными (возможна индивидуальная непереносимость или гиперчувствительность к препарату отдельных компонентов).</w:t>
      </w:r>
    </w:p>
    <w:bookmarkEnd w:id="304"/>
    <w:bookmarkStart w:name="2855888810"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Показания к проведению ОФЭКТ, ОФЭКТ/КТ исследований:</w:t>
      </w:r>
    </w:p>
    <w:bookmarkEnd w:id="305"/>
    <w:bookmarkStart w:name="2855888811" w:id="30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06"/>
    <w:bookmarkStart w:name="2855888812" w:id="30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07"/>
    <w:bookmarkStart w:name="2855888813"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Абсолютные противопоказания к проведению ОФЭКТ, ОФЭКТ/КТ исследования:</w:t>
      </w:r>
    </w:p>
    <w:bookmarkEnd w:id="308"/>
    <w:bookmarkStart w:name="2855888814" w:id="30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09"/>
    <w:bookmarkStart w:name="2855888815" w:id="31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10"/>
    <w:bookmarkStart w:name="2855888816"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Относительные противопоказания к проведению ОФЭКТ, ОФЭКТ/КТ исследования:</w:t>
      </w:r>
    </w:p>
    <w:bookmarkEnd w:id="311"/>
    <w:bookmarkStart w:name="2855888817" w:id="31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12"/>
    <w:bookmarkStart w:name="2855888818" w:id="31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13"/>
    <w:bookmarkStart w:name="2855888819"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Ограничения для проведения диагностики:</w:t>
      </w:r>
    </w:p>
    <w:bookmarkEnd w:id="314"/>
    <w:bookmarkStart w:name="2855888820" w:id="31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15"/>
    <w:bookmarkStart w:name="2855888821" w:id="31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16"/>
    <w:bookmarkStart w:name="2855888822"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Возможные осложнения и последствия:</w:t>
      </w:r>
    </w:p>
    <w:bookmarkEnd w:id="317"/>
    <w:bookmarkStart w:name="2855888823"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ходе исследования для получения дополнительной информации возможно проведение исследование с внутривенным и (или) пероральным введением</w:t>
      </w:r>
    </w:p>
    <w:bookmarkEnd w:id="318"/>
    <w:bookmarkStart w:name="2855888824" w:id="31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w:t>
      </w:r>
    </w:p>
    <w:bookmarkEnd w:id="319"/>
    <w:bookmarkStart w:name="2855888825" w:id="32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(Подпись пациента)</w:t>
      </w:r>
    </w:p>
    <w:bookmarkEnd w:id="320"/>
    <w:bookmarkStart w:name="2855888826"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йодсодержащего контрастного препарата. Данные диагностические лекарственные средства считаются достаточно безопасными, однако, при наличии индивидуальной непереносимости препарата у пациента, после инъекции возможно возникновения побочных эффектов (тошнота, рвота, чихание, сыпь на коже, перепады артериального давления) или аллергических реакций.</w:t>
      </w:r>
    </w:p>
    <w:bookmarkEnd w:id="321"/>
    <w:bookmarkStart w:name="2855888827"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ОФЭКТ, ОФЭКТ/КТ исследование связано с воздействием ионизирующего излучения, которое не является опасным для организма человека. Средняя эффективная эквивалентная доза на пациента при стандартном ОФЭКТ/КТ исследовании составляет мЗв.</w:t>
      </w:r>
    </w:p>
    <w:bookmarkEnd w:id="322"/>
    <w:bookmarkStart w:name="2855888828"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Альтернативными методами исследования являются: магнитно-резонансная томография (далее-МРТ), мультиспиральная компьютерная томография (далее-МСКТ), ультразвуковое исследование (далее-УЗИ), эхокардиоскопия (далее-ЭхоКС), вентрикулография. Данные лучевые методы исследования уступают в точности оценки функционального состояния органов и систем, а также в динамической оценке предыдущего ОФЭКТ/КТ исследования. При оценке метастатического поражения альтернативным методом является позитронно-эмиссионная томография, совмещенная с компьютерной томографией (далее-ПЭТ/КТ).</w:t>
      </w:r>
    </w:p>
    <w:bookmarkEnd w:id="323"/>
    <w:bookmarkStart w:name="2855888829"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проведения ОФЭКТ, ОФЭКТ/КТ исследования:</w:t>
      </w:r>
    </w:p>
    <w:bookmarkEnd w:id="324"/>
    <w:bookmarkStart w:name="2855888830" w:id="32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25"/>
    <w:bookmarkStart w:name="2855888831" w:id="32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26"/>
    <w:bookmarkStart w:name="2855888832" w:id="32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27"/>
    <w:bookmarkStart w:name="2855888833" w:id="32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w:t>
      </w:r>
    </w:p>
    <w:bookmarkEnd w:id="328"/>
    <w:bookmarkStart w:name="2855888834"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Мне разъяснено содержание указанных медицинских действий, связанных с введением РФЛП и проведением ОФЭКТ/КТ исследования.</w:t>
      </w:r>
    </w:p>
    <w:bookmarkEnd w:id="329"/>
    <w:bookmarkStart w:name="2855888835" w:id="330"/>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согласен(а) на внутривенное введение йодсодержащего контрастного препарата.</w:t>
      </w:r>
    </w:p>
    <w:bookmarkEnd w:id="330"/>
    <w:bookmarkStart w:name="2855888836" w:id="331"/>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отказываюсь от внутривенного введения йодсодержащего контрастного препарата.</w:t>
      </w:r>
    </w:p>
    <w:bookmarkEnd w:id="331"/>
    <w:bookmarkStart w:name="2855888837" w:id="332"/>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обязуюсь после проведенной процедуры в течение дня соблюдать меры по обеспечению безопасности здоровья окружающих меня людей, а именно:</w:t>
      </w:r>
    </w:p>
    <w:bookmarkEnd w:id="332"/>
    <w:bookmarkStart w:name="2855888838"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3)в течение дня употреблять больше жидкости для ускорения выведения препарата из организма;</w:t>
      </w:r>
    </w:p>
    <w:bookmarkEnd w:id="333"/>
    <w:bookmarkStart w:name="2855888839"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4)ограничить контакт и общение с детьми младше 16 лет, беременными и кормящими женщинами, больными людьми.</w:t>
      </w:r>
    </w:p>
    <w:bookmarkEnd w:id="334"/>
    <w:bookmarkStart w:name="2855888840" w:id="335"/>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не возражаю против использования моего результата исследования для формирования базы данных, научной и педагогической деятельности с целью повышения качества оказания медицинской помощи.</w:t>
      </w:r>
    </w:p>
    <w:bookmarkEnd w:id="335"/>
    <w:bookmarkStart w:name="2855888841" w:id="33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w:t>
      </w:r>
    </w:p>
    <w:bookmarkEnd w:id="336"/>
    <w:bookmarkStart w:name="2855888842"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Подпись пациента</w:t>
      </w:r>
    </w:p>
    <w:bookmarkEnd w:id="337"/>
    <w:bookmarkStart w:name="2855888843" w:id="338"/>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Я поставил(а) в известность врача обо всех проблемах, связанных со здоровьем, наследственностью,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том числе носительстве ВИЧ-инфекции, вирусных гепатитах, туберкулезе, инфекциях, передаваемых половым путем, принимаемых лекарственных средствах.</w:t>
      </w:r>
    </w:p>
    <w:bookmarkEnd w:id="338"/>
    <w:bookmarkStart w:name="2855888844" w:id="339"/>
    <w:p>
      <w:pPr>
        <w:spacing w:before="120" w:after="120" w:line="240"/>
        <w:ind w:left="0"/>
        <w:jc w:val="both"/>
      </w:pPr>
      <w:r>
        <w:rPr>
          <w:b w:val="false"/>
          <w:i w:val="false"/>
          <w:color w:val="000000"/>
          <w:sz w:val="24"/>
        </w:rPr>
        <w:t xml:space="preserve">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r>
        <w:rPr>
          <w:b w:val="false"/>
          <w:i w:val="false"/>
          <w:color w:val="000000"/>
          <w:sz w:val="24"/>
        </w:rPr>
        <w:t xml:space="preserve"> В настоящее время я полностью отрицаю возможную беременность и грудное вскармливание ребенка (для женщин).</w:t>
      </w:r>
    </w:p>
    <w:bookmarkEnd w:id="339"/>
    <w:bookmarkStart w:name="2855888845"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Я доверяю врачу и его коллегам принимать решения и выполнять медицинские действия, которые врач сочтет необходимым для улучшения моего состояния здоровья.</w:t>
      </w:r>
    </w:p>
    <w:bookmarkEnd w:id="340"/>
    <w:bookmarkStart w:name="2855888846"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Я имел(а) возможность задавать любые вопросы медицинскому персоналу и на все вопросы получил(а) исчерпывающие ответы.</w:t>
      </w:r>
    </w:p>
    <w:bookmarkEnd w:id="341"/>
    <w:bookmarkStart w:name="2855888847"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Содержание настоящего документа мною прочитано, разъяснено мне врачом, оно полностью мне понятно, что я удостоверил (а) своей подписью.</w:t>
      </w:r>
    </w:p>
    <w:bookmarkEnd w:id="342"/>
    <w:bookmarkStart w:name="2855888848" w:id="343"/>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644"/>
        <w:gridCol w:w="3115"/>
        <w:gridCol w:w="5701"/>
      </w:tblGrid>
      <w:tr>
        <w:trPr>
          <w:trHeight w:val="15" w:hRule="atLeast"/>
        </w:trPr>
        <w:tc>
          <w:tcPr>
            <w:tcW w:w="36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Пациент</w:t>
            </w:r>
          </w:p>
        </w:tc>
        <w:tc>
          <w:tcPr>
            <w:tcW w:w="3115"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 (Подпись)</w:t>
            </w:r>
          </w:p>
        </w:tc>
        <w:tc>
          <w:tcPr>
            <w:tcW w:w="57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__________________________ (Фамилия, имя, отчество (при его наличии)</w:t>
            </w:r>
          </w:p>
        </w:tc>
      </w:tr>
      <w:tr>
        <w:trPr>
          <w:trHeight w:val="15" w:hRule="atLeast"/>
        </w:trPr>
        <w:tc>
          <w:tcPr>
            <w:tcW w:w="36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 радиоизотопной (радионуклидной) диагностики</w:t>
            </w:r>
          </w:p>
        </w:tc>
        <w:tc>
          <w:tcPr>
            <w:tcW w:w="3115"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 (Подпись)</w:t>
            </w:r>
          </w:p>
        </w:tc>
        <w:tc>
          <w:tcPr>
            <w:tcW w:w="57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___________________________ (Фамилия, имя, отчество (при его наличии)</w:t>
            </w:r>
          </w:p>
        </w:tc>
      </w:tr>
      <w:tr>
        <w:trPr>
          <w:trHeight w:val="15" w:hRule="atLeast"/>
        </w:trPr>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Дата: «___» ____________ 20___ год</w:t>
            </w:r>
          </w:p>
        </w:tc>
        <w:tc>
          <w:tcPr>
            <w:tcW w:w="5701"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36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Время: ___ час ____минут</w:t>
            </w:r>
          </w:p>
        </w:tc>
        <w:tc>
          <w:tcPr>
            <w:tcW w:w="3115" w:type="dxa"/>
            <w:tcBorders>
              <w:top w:val="single" w:color="000000" w:sz="8"/>
              <w:left w:val="single" w:color="000000" w:sz="8"/>
              <w:bottom w:val="single" w:color="000000" w:sz="8"/>
              <w:right w:val="single" w:color="000000" w:sz="8"/>
            </w:tcBorders>
            <w:vAlign w:val="center"/>
          </w:tcPr>
          <w:p>
            <w:pPr>
              <w:spacing w:after="0"/>
              <w:ind w:left="0"/>
              <w:jc w:val="left"/>
            </w:pPr>
          </w:p>
        </w:tc>
        <w:tc>
          <w:tcPr>
            <w:tcW w:w="5701" w:type="dxa"/>
            <w:tcBorders>
              <w:top w:val="single" w:color="000000" w:sz="8"/>
              <w:left w:val="single" w:color="000000" w:sz="8"/>
              <w:bottom w:val="single" w:color="000000" w:sz="8"/>
              <w:right w:val="single" w:color="000000" w:sz="8"/>
            </w:tcBorders>
            <w:vAlign w:val="center"/>
          </w:tcPr>
          <w:p>
            <w:pPr>
              <w:spacing w:after="0"/>
              <w:ind w:left="0"/>
              <w:jc w:val="left"/>
            </w:pPr>
          </w:p>
        </w:tc>
      </w:tr>
    </w:tbl>
    <w:bookmarkEnd w:id="343"/>
    <w:bookmarkStart w:name="2855888849" w:id="344"/>
    <w:p>
      <w:pPr>
        <w:spacing w:before="120" w:after="120" w:line="240"/>
        <w:ind w:left="0"/>
        <w:jc w:val="right"/>
      </w:pPr>
      <w:r>
        <w:rPr>
          <w:rFonts w:hint="default" w:ascii="Times New Roman" w:hAnsi="Times New Roman"/>
          <w:b/>
          <w:i w:val="false"/>
          <w:color w:val="000000"/>
          <w:sz w:val="24"/>
        </w:rPr>
        <w:t>Приложение 6</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344"/>
    <w:bookmarkStart w:name="2855888851" w:id="345"/>
    <w:p>
      <w:pPr>
        <w:spacing w:before="120" w:after="120" w:line="240"/>
        <w:ind w:left="0"/>
        <w:jc w:val="both"/>
      </w:pPr>
      <w:r>
        <w:rPr>
          <w:rFonts w:hint="default" w:ascii="Times New Roman" w:hAnsi="Times New Roman"/>
          <w:b/>
          <w:i w:val="false"/>
          <w:color w:val="000000"/>
          <w:sz w:val="24"/>
        </w:rPr>
        <w:t>Перечень заболеваний для проведения радионуклидной терапии</w:t>
      </w:r>
    </w:p>
    <w:bookmarkEnd w:id="345"/>
    <w:bookmarkStart w:name="2855888853" w:id="346"/>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14"/>
        <w:gridCol w:w="2150"/>
        <w:gridCol w:w="9096"/>
      </w:tblGrid>
      <w:tr>
        <w:trPr>
          <w:trHeight w:val="15" w:hRule="atLeast"/>
        </w:trPr>
        <w:tc>
          <w:tcPr>
            <w:tcW w:w="1214" w:type="dxa"/>
            <w:vMerge w:val="restart"/>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Код по МКБ</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Наименование заболевания</w:t>
            </w:r>
          </w:p>
        </w:tc>
      </w:tr>
      <w:tr>
        <w:trPr>
          <w:trHeight w:val="15" w:hRule="atLeast"/>
        </w:trPr>
        <w:tc>
          <w:tcPr>
            <w:tcW w:w="0" w:type="auto"/>
            <w:vMerge/>
            <w:tcBorders>
              <w:top w:val="nil"/>
              <w:left w:val="single" w:color="000000" w:sz="8"/>
              <w:bottom w:val="single" w:color="000000" w:sz="8"/>
              <w:right w:val="single" w:color="000000" w:sz="8"/>
            </w:tcBorders>
          </w:tcP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Пептид-рецепторная радионуклидная терапия нейроэндокринных опухолей</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Злокачественное новообразование (далее – ЗН) пищевода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С16</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желудка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С17</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тонкого кишечника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С18</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ободочной кишки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С19</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ректосигмоидного соединения</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С20</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прямой кишки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С21</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заднего прохода (ануса) и анального канала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C22.0</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Печеночноклеточный рак</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С23</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желчного пузыря</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C24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и неуточненных частей желчевыводящих путей</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С25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поджелудочной железы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бронхов и легкого</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С37</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вилочковой железы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C44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ЗН кожи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С50</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молочной железы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С53</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шейки матки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тела матки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С56</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яичника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С61</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предстательной железы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С64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почки, кроме почечной лоханки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С73</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щитовидной железы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надпочечника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других эндокринных желез и родственных структур</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C75.5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аортального гломуса и других параганглиев</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Селективная внутренняя радионуклидная терапия вторичных опухолей печени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C78.7</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Вторичное злокачественное новообразование печени и внутрипеченочного желчного протока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Радионуклидная терапия костных метастазов</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C79.5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Вторичное ЗН костей и костного мозга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Радиоиммунная терапия неходжкинских лимфом</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С85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и неуточненные типы неходжкинской лимфомы</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Радиойодтерапия</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С73</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ЗН щитовидной железы (дифференцированный рак щитовидной железы)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29.</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[гипертиреоз]</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E05.0</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диффузным зобом</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31.</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E05.1</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токсическим одноузловым зобом</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32.</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E05.2</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токсическим многоузловым зобом</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33.</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E05.3</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Тиреотоксикоз с эктопией тиреоидной ткани</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Радиосиновэктомия</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34.</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M01.2</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Артрит при болезни Лайма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35.</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M05</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Серопозитивный ревматоидный артрит</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36.</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M06</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ревматоидные артриты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М07</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Псориатические и энтеропатическиеартропатии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38.</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М11</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кристаллические артропатии</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39.</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M12.2</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Ворсинчато-узелковый [виллонодуряный] синовит (пигментный)</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40.</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М13</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Другие артриты</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41.</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M25.0</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Гемартроз</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42.</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M25.4</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Выпот в суставе</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43.</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M35.2</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Болезнь Бехчета</w:t>
            </w:r>
          </w:p>
        </w:tc>
      </w:tr>
      <w:tr>
        <w:trPr>
          <w:trHeight w:val="15" w:hRule="atLeast"/>
        </w:trPr>
        <w:tc>
          <w:tcPr>
            <w:tcW w:w="121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44.</w:t>
            </w:r>
          </w:p>
        </w:tc>
        <w:tc>
          <w:tcPr>
            <w:tcW w:w="215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M36.2</w:t>
            </w:r>
          </w:p>
        </w:tc>
        <w:tc>
          <w:tcPr>
            <w:tcW w:w="9096"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Артропатия при гемофилии</w:t>
            </w:r>
          </w:p>
        </w:tc>
      </w:tr>
    </w:tbl>
    <w:bookmarkEnd w:id="346"/>
    <w:bookmarkStart w:name="2855888854"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Приложение 7</w:t>
      </w:r>
    </w:p>
    <w:bookmarkEnd w:id="347"/>
    <w:bookmarkStart w:name="2855888855"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Стандарту организации оказания медицинской помощи в области ядерной медицины населению Республики Казахстан</w:t>
      </w:r>
    </w:p>
    <w:bookmarkEnd w:id="348"/>
    <w:bookmarkStart w:name="2855888856" w:id="349"/>
    <w:p>
      <w:pPr>
        <w:spacing w:before="120" w:after="120" w:line="240"/>
        <w:ind w:left="0"/>
        <w:jc w:val="both"/>
      </w:pPr>
      <w:r>
        <w:rPr>
          <w:rFonts w:hint="default" w:ascii="Times New Roman" w:hAnsi="Times New Roman"/>
          <w:b/>
          <w:i w:val="false"/>
          <w:color w:val="000000"/>
          <w:sz w:val="24"/>
        </w:rPr>
        <w:t>Схема движения пациентов в отделении радиоизотопной (радионуклидной) диагностики</w:t>
      </w:r>
    </w:p>
    <w:bookmarkEnd w:id="349"/>
    <w:bookmarkStart w:name="2855888857" w:id="350"/>
    <w:p>
      <w:pPr>
        <w:spacing w:before="120" w:after="120" w:line="240"/>
        <w:ind w:left="0"/>
        <w:jc w:val="both"/>
      </w:pPr>
      <w:r>
        <w:drawing>
          <wp:inline distT="0" distB="0" distL="0" distR="0">
            <wp:extent cx="57150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0" cy="7848600"/>
                    </a:xfrm>
                    <a:prstGeom prst="rect">
                      <a:avLst/>
                    </a:prstGeom>
                  </pic:spPr>
                </pic:pic>
              </a:graphicData>
            </a:graphic>
          </wp:inline>
        </w:drawing>
      </w:r>
    </w:p>
    <w:bookmarkEnd w:id="350"/>
    <w:bookmarkStart w:name="2855888858"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Расшифровка аббревиатур:</w:t>
      </w:r>
    </w:p>
    <w:bookmarkEnd w:id="351"/>
    <w:bookmarkStart w:name="2855888859"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*РФЛП – радиофармацевтический лекарственный препарат</w:t>
      </w:r>
    </w:p>
    <w:bookmarkEnd w:id="352"/>
    <w:bookmarkStart w:name="2855888860"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Приложение 8</w:t>
      </w:r>
    </w:p>
    <w:bookmarkEnd w:id="353"/>
    <w:bookmarkStart w:name="2855888861"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Стандарту организации оказания медицинской помощи в области ядерной медицины населению Республики Казахстан</w:t>
      </w:r>
    </w:p>
    <w:bookmarkEnd w:id="354"/>
    <w:bookmarkStart w:name="2855888862" w:id="355"/>
    <w:p>
      <w:pPr>
        <w:spacing w:before="120" w:after="120" w:line="240"/>
        <w:ind w:left="0"/>
        <w:jc w:val="both"/>
      </w:pPr>
      <w:r>
        <w:rPr>
          <w:rFonts w:hint="default" w:ascii="Times New Roman" w:hAnsi="Times New Roman"/>
          <w:b/>
          <w:i w:val="false"/>
          <w:color w:val="000000"/>
          <w:sz w:val="24"/>
        </w:rPr>
        <w:t>Схема движения пациентов в отделении радионуклидной терапии</w:t>
      </w:r>
    </w:p>
    <w:bookmarkEnd w:id="355"/>
    <w:bookmarkStart w:name="2855888863" w:id="356"/>
    <w:p>
      <w:pPr>
        <w:spacing w:before="120" w:after="120" w:line="240"/>
        <w:ind w:left="0"/>
        <w:jc w:val="both"/>
      </w:pPr>
      <w:r>
        <w:drawing>
          <wp:inline distT="0" distB="0" distL="0" distR="0">
            <wp:extent cx="57150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0" cy="8255000"/>
                    </a:xfrm>
                    <a:prstGeom prst="rect">
                      <a:avLst/>
                    </a:prstGeom>
                  </pic:spPr>
                </pic:pic>
              </a:graphicData>
            </a:graphic>
          </wp:inline>
        </w:drawing>
      </w:r>
    </w:p>
    <w:bookmarkEnd w:id="356"/>
    <w:bookmarkStart w:name="2855888864" w:id="357"/>
    <w:p>
      <w:pPr>
        <w:spacing w:before="120" w:after="120" w:line="240"/>
        <w:ind w:left="0"/>
        <w:jc w:val="right"/>
      </w:pPr>
      <w:r>
        <w:rPr>
          <w:rFonts w:hint="default" w:ascii="Times New Roman" w:hAnsi="Times New Roman"/>
          <w:b/>
          <w:i w:val="false"/>
          <w:color w:val="000000"/>
          <w:sz w:val="24"/>
        </w:rPr>
        <w:t>Приложение 9</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357"/>
    <w:bookmarkStart w:name="2855888866" w:id="358"/>
    <w:p>
      <w:pPr>
        <w:spacing w:before="120" w:after="120" w:line="240"/>
        <w:ind w:left="0"/>
        <w:jc w:val="both"/>
      </w:pPr>
      <w:r>
        <w:rPr>
          <w:rFonts w:hint="default" w:ascii="Times New Roman" w:hAnsi="Times New Roman"/>
          <w:b/>
          <w:i w:val="false"/>
          <w:color w:val="000000"/>
          <w:sz w:val="24"/>
        </w:rPr>
        <w:t>Применение радиофармацевтических лекарственных препаратов в радионуклидной диагностике</w:t>
      </w:r>
    </w:p>
    <w:bookmarkEnd w:id="358"/>
    <w:bookmarkStart w:name="2855888867"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Применение радионуклидов в радиоизотопной (радионуклидной) диагностике (далее – РНД) основано на использовании нестабильных изотопов радиоактивных элементов, при применении которых, необходимо учесть время, затраченное от производства изотопа до введения пациенту радиофармпрепарата:</w:t>
      </w:r>
    </w:p>
    <w:bookmarkEnd w:id="359"/>
    <w:bookmarkStart w:name="2855888868"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производство радиофармацевтических лекарственных препаратов (далее-РФЛП) на реакторе/циклотроне;</w:t>
      </w:r>
    </w:p>
    <w:bookmarkEnd w:id="360"/>
    <w:bookmarkStart w:name="2855888869"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генератор / производство РФЛП;</w:t>
      </w:r>
    </w:p>
    <w:bookmarkEnd w:id="361"/>
    <w:bookmarkStart w:name="2855888870"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контроль качества РФЛП;</w:t>
      </w:r>
    </w:p>
    <w:bookmarkEnd w:id="362"/>
    <w:bookmarkStart w:name="2855888871"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транспортировка генератора/РФЛП;</w:t>
      </w:r>
    </w:p>
    <w:bookmarkEnd w:id="363"/>
    <w:bookmarkStart w:name="2855888872"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фасовка РФЛП;</w:t>
      </w:r>
    </w:p>
    <w:bookmarkEnd w:id="364"/>
    <w:bookmarkStart w:name="2855888873"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применение РФЛП пациентом.</w:t>
      </w:r>
    </w:p>
    <w:bookmarkEnd w:id="365"/>
    <w:bookmarkStart w:name="2855888874"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однофотонной эмиссионной компьютерной томографии (далее-ОФЭКТ), однофотонной эмиссионной компьютерной томографии, совмещенной с компьютерной томографией (далее-ОФЭКТ/КТ) используются РФЛП, меченные технецием (Технеций-99m), который получают в генераторе, он является промежуточным этапом распада молибдена-99 до стабильного технеция-99, и обладает оптимальными дозиметрическими характеристиками, что позволяет вводить большие активности при меньшей лучевой нагрузке.</w:t>
      </w:r>
    </w:p>
    <w:bookmarkEnd w:id="366"/>
    <w:bookmarkStart w:name="2855888875"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Технеций не является биохимическим элементом, поэтому для диагностики используются полученные экстемпорально восстановленные формы пертехнетата технеция, эта форма стабилизируется как хелат-комплекс с соответствующими хелатами и лигандами(комплексообразователями).</w:t>
      </w:r>
    </w:p>
    <w:bookmarkEnd w:id="367"/>
    <w:bookmarkStart w:name="2855888876"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 генератора технеция один раз в 24 часа элюируется технеций в виде пертехнетата натрия, в своей стабильной степени окисления. Для получения технециевого комплекса нужно сначала перевести технеций в более низкую степень окисления, затем в процессе восстановления соединение технеция превращается, с участием соответствующего лиганда в металл-комплекс, РФЛП. Для этого используются специальные наборы для мечения технецием. В общем случае во флаконе с реагентом находится вещество, которое метится [(хелат)лиганд], восстановитель, буфер-вещество и стабилизатор. Для предупреждения окисления кислородом воздуха, свободный объем флакона заполнен инертным газом. Это лиофилизат, после добавления расчётной дозы пертехнетата элюированого из генератора, получается готовый к применению РФЛП для функциональной диагностики.</w:t>
      </w:r>
    </w:p>
    <w:bookmarkEnd w:id="368"/>
    <w:bookmarkStart w:name="2855888877"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добавлении в набор пертехнетата, протекают одновременно разные реакции – восстановление пертехнетата, комплексообразования с лигандами, гидролиз технециевого комплекса. Структурное исследование комплекса затруднено. Так как - это экстемпоральная стерильная лекарственная форма для внутривенного использования, срок годности готового РФЛП составляет – от 30 минут до 5 часов согласно инструкции. Расчетная эффективность использования флаконов с наборами для мечения – один флакон в среднем на 1-2 исследование.</w:t>
      </w:r>
    </w:p>
    <w:bookmarkEnd w:id="369"/>
    <w:bookmarkStart w:name="2855888878"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ежедневной средней активности, извлекаемой из генеретора 99mТс для проведения исследований на аппаратах ОФЭКТ и ОФЭКТ-КТ</w:t>
      </w:r>
    </w:p>
    <w:bookmarkEnd w:id="370"/>
    <w:bookmarkStart w:name="2855888879" w:id="371"/>
    <w:tbl>
      <w:tblPr>
        <w:tblW w:w="682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00"/>
        <w:gridCol w:w="1200"/>
        <w:gridCol w:w="1201"/>
        <w:gridCol w:w="1041"/>
        <w:gridCol w:w="1201"/>
        <w:gridCol w:w="1201"/>
        <w:gridCol w:w="176"/>
      </w:tblGrid>
      <w:tr>
        <w:trPr>
          <w:trHeight w:val="15" w:hRule="atLeast"/>
        </w:trPr>
        <w:tc>
          <w:tcPr>
            <w:tcW w:w="0" w:type="auto"/>
            <w:gridSpan w:val="7"/>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Радиоактивность генератора - 99mТс (ГБк)</w:t>
            </w: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День</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18,5</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18,5</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11,66</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14,3</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17,8</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23,32</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9,06</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11,17</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13,89</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18,12</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7,04</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8,69</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9,39</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10,8</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14,08</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5,47</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6,7</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7,3</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8,39</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10,95</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4,25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5,23</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5,67</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6,52</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8,51</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2,46</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2,66</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3,06</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3,99</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1,91</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2,07</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2,38</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3,1</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1,21</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1,49</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1,61</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2,41</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0,94</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1,16</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1,25</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1,44</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1,88</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8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120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0,73</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0,9</w:t>
            </w:r>
          </w:p>
        </w:tc>
        <w:tc>
          <w:tcPr>
            <w:tcW w:w="104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0,97</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1,12</w:t>
            </w:r>
          </w:p>
        </w:tc>
        <w:tc>
          <w:tcPr>
            <w:tcW w:w="1201"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1,46</w:t>
            </w:r>
          </w:p>
        </w:tc>
        <w:tc>
          <w:tcPr>
            <w:tcW w:w="176" w:type="dxa"/>
            <w:tcBorders>
              <w:top w:val="single" w:color="000000" w:sz="8"/>
              <w:left w:val="single" w:color="000000" w:sz="8"/>
              <w:bottom w:val="single" w:color="000000" w:sz="8"/>
              <w:right w:val="single" w:color="000000" w:sz="8"/>
            </w:tcBorders>
            <w:vAlign w:val="center"/>
          </w:tcPr>
          <w:p>
            <w:pPr>
              <w:spacing w:after="0"/>
              <w:ind w:left="0"/>
              <w:jc w:val="left"/>
            </w:pPr>
          </w:p>
        </w:tc>
      </w:tr>
    </w:tbl>
    <w:bookmarkEnd w:id="371"/>
    <w:bookmarkStart w:name="2855888880"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средней активности, извлекаемой из генератора, рассчитывается по формуле:</w:t>
      </w:r>
    </w:p>
    <w:bookmarkEnd w:id="372"/>
    <w:bookmarkStart w:name="2855888881" w:id="373"/>
    <w:p>
      <w:pPr>
        <w:spacing w:before="120" w:after="120" w:line="240"/>
        <w:ind w:left="0"/>
        <w:jc w:val="both"/>
      </w:pPr>
      <w:r>
        <w:drawing>
          <wp:inline distT="0" distB="0" distL="0" distR="0">
            <wp:extent cx="304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0" cy="558800"/>
                    </a:xfrm>
                    <a:prstGeom prst="rect">
                      <a:avLst/>
                    </a:prstGeom>
                  </pic:spPr>
                </pic:pic>
              </a:graphicData>
            </a:graphic>
          </wp:inline>
        </w:drawing>
      </w:r>
    </w:p>
    <w:bookmarkEnd w:id="373"/>
    <w:bookmarkStart w:name="2855888882"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Средняя активность, извлекаемая из генератора в день, составляет 5,421 ГБк для генератора с радиоактивностью 18,5 ГБк</w:t>
      </w:r>
    </w:p>
    <w:bookmarkEnd w:id="374"/>
    <w:bookmarkStart w:name="2855888883"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РФЛП, используемые для РНД на аппаратах ПЭТ-КТ, рассчитывается аналогичным способом, с учетом периода полураспада и срока годности препарата. Для проведения диагностических процедур используются РФЛП на основе Фтор-18 (F-18) произведенный на циклотроне, и Галий-68 (Ga68) который производится на циклотроне или элюированным из генератора.</w:t>
      </w:r>
    </w:p>
    <w:bookmarkEnd w:id="375"/>
    <w:bookmarkStart w:name="2855888884"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средней активности РФЛП на основе F18 и Ga68 для проведения исследований на аппаратах ПЭТ, ПЭТ-КТ</w:t>
      </w:r>
    </w:p>
    <w:bookmarkEnd w:id="376"/>
    <w:bookmarkStart w:name="2855888885" w:id="377"/>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444"/>
        <w:gridCol w:w="1673"/>
        <w:gridCol w:w="1673"/>
        <w:gridCol w:w="453"/>
        <w:gridCol w:w="453"/>
        <w:gridCol w:w="454"/>
        <w:gridCol w:w="6310"/>
      </w:tblGrid>
      <w:tr>
        <w:trPr>
          <w:trHeight w:val="15" w:hRule="atLeast"/>
        </w:trPr>
        <w:tc>
          <w:tcPr>
            <w:tcW w:w="0" w:type="auto"/>
            <w:gridSpan w:val="5"/>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Радиоактивность генератора –F-18 (ГБк)</w:t>
            </w:r>
          </w:p>
        </w:tc>
        <w:tc>
          <w:tcPr>
            <w:tcW w:w="0" w:type="auto"/>
            <w:gridSpan w:val="2"/>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Радиоактивность препарата, произведенного на циклотроне на основе F-18(ГБк)</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Часы</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50</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75</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37,5</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18,75</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75</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6,25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9,375</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37,5</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3,125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4,688</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18,75</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1,563</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2,344</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6,25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9,375</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0,782</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1,172</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3,125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4,688</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0,390</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0,586</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1,563</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2,344</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0,195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0,293</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0,781</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1,172</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p>
        </w:tc>
      </w:tr>
      <w:tr>
        <w:trPr>
          <w:trHeight w:val="15" w:hRule="atLeast"/>
        </w:trPr>
        <w:tc>
          <w:tcPr>
            <w:tcW w:w="0" w:type="auto"/>
            <w:gridSpan w:val="4"/>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Радиоактивность</w:t>
            </w:r>
          </w:p>
          <w:p>
            <w:pPr>
              <w:spacing w:after="0"/>
              <w:ind w:left="0"/>
              <w:jc w:val="left"/>
            </w:pPr>
            <w:r>
              <w:rPr>
                <w:rFonts w:hint="default" w:ascii="Times New Roman" w:hAnsi="Times New Roman"/>
                <w:b w:val="false"/>
                <w:i w:val="false"/>
                <w:color w:val="000000"/>
                <w:sz w:val="24"/>
              </w:rPr>
              <w:t>генератора – Ga-68 (ГБк)</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Радиоактивность препарата, произведенного на циклотроне на основе Ga-68 (ГБк)</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Часы</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536</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54</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81</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290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29,196</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43,794</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15,785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23,678</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54,066</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81,110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8,534</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12,802</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29,232</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43,848</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4,614</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6,922</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15,805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23,707</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2,495</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3,743</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8,545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12,818</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1,349</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2,024</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4,620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6,930</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0,729</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1,094</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2,498</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3,747</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0,394</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0,592</w:t>
            </w:r>
          </w:p>
        </w:tc>
      </w:tr>
      <w:tr>
        <w:trPr>
          <w:trHeight w:val="15" w:hRule="atLeast"/>
        </w:trPr>
        <w:tc>
          <w:tcPr>
            <w:tcW w:w="144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1,350</w:t>
            </w:r>
          </w:p>
        </w:tc>
        <w:tc>
          <w:tcPr>
            <w:tcW w:w="1673"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2,025</w:t>
            </w:r>
          </w:p>
        </w:tc>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0,213</w:t>
            </w:r>
          </w:p>
        </w:tc>
        <w:tc>
          <w:tcPr>
            <w:tcW w:w="631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0.320</w:t>
            </w:r>
          </w:p>
        </w:tc>
      </w:tr>
    </w:tbl>
    <w:bookmarkEnd w:id="377"/>
    <w:bookmarkStart w:name="2855888886"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Последовательный распад и генетические пары радионуклидов. Обычно, для создания радионуклидных генераторов выбирают цепочки нуклидов с двумя последовательными распадами (то есть, тремя нуклидами: материнским радионуклидом, дочерним радионуклидом, конечным стабильным нуклидом)</w:t>
      </w:r>
    </w:p>
    <w:bookmarkEnd w:id="378"/>
    <w:bookmarkStart w:name="2855888887" w:id="379"/>
    <w:p>
      <w:pPr>
        <w:spacing w:before="120" w:after="120" w:line="240"/>
        <w:ind w:left="0"/>
        <w:jc w:val="both"/>
      </w:pPr>
      <w:r>
        <w:drawing>
          <wp:inline distT="0" distB="0" distL="0" distR="0">
            <wp:extent cx="304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0" cy="558800"/>
                    </a:xfrm>
                    <a:prstGeom prst="rect">
                      <a:avLst/>
                    </a:prstGeom>
                  </pic:spPr>
                </pic:pic>
              </a:graphicData>
            </a:graphic>
          </wp:inline>
        </w:drawing>
      </w:r>
    </w:p>
    <w:bookmarkEnd w:id="379"/>
    <w:bookmarkStart w:name="2855888888" w:id="380"/>
    <w:p>
      <w:pPr>
        <w:spacing w:before="120" w:after="120" w:line="240"/>
        <w:ind w:left="0"/>
        <w:jc w:val="both"/>
      </w:pPr>
      <w:r>
        <w:rPr>
          <w:rFonts w:hint="default" w:ascii="Times New Roman" w:hAnsi="Times New Roman"/>
          <w:b w:val="false"/>
          <w:i w:val="false"/>
          <w:color w:val="000000"/>
          <w:sz w:val="24"/>
        </w:rPr>
        <w:t>При этом λ</w:t>
      </w:r>
      <w:r>
        <w:rPr>
          <w:rFonts w:hint="default" w:ascii="Times New Roman" w:hAnsi="Times New Roman"/>
          <w:b w:val="false"/>
          <w:i w:val="false"/>
          <w:color w:val="000000"/>
          <w:vertAlign w:val="subscript"/>
        </w:rPr>
        <w:t>2</w:t>
      </w:r>
      <w:r>
        <w:rPr>
          <w:rFonts w:hint="default" w:ascii="Times New Roman" w:hAnsi="Times New Roman"/>
          <w:b w:val="false"/>
          <w:i w:val="false"/>
          <w:color w:val="000000"/>
          <w:sz w:val="24"/>
        </w:rPr>
        <w:t xml:space="preserve"> &gt; λ</w:t>
      </w:r>
      <w:r>
        <w:rPr>
          <w:rFonts w:hint="default" w:ascii="Times New Roman" w:hAnsi="Times New Roman"/>
          <w:b w:val="false"/>
          <w:i w:val="false"/>
          <w:color w:val="000000"/>
          <w:vertAlign w:val="subscript"/>
        </w:rPr>
        <w:t>1</w:t>
      </w:r>
    </w:p>
    <w:bookmarkEnd w:id="380"/>
    <w:bookmarkStart w:name="2855888889"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Последовательный распад генетической пары радионуклидов</w:t>
      </w:r>
    </w:p>
    <w:bookmarkEnd w:id="381"/>
    <w:bookmarkStart w:name="2855888890"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Накопление дочернего радионуклида в радионуклидном генераторе:</w:t>
      </w:r>
    </w:p>
    <w:bookmarkEnd w:id="382"/>
    <w:bookmarkStart w:name="2855888891" w:id="383"/>
    <w:p>
      <w:pPr>
        <w:spacing w:before="120" w:after="120" w:line="240"/>
        <w:ind w:left="0"/>
        <w:jc w:val="both"/>
      </w:pPr>
      <w:r>
        <w:drawing>
          <wp:inline distT="0" distB="0" distL="0" distR="0">
            <wp:extent cx="571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0" cy="584200"/>
                    </a:xfrm>
                    <a:prstGeom prst="rect">
                      <a:avLst/>
                    </a:prstGeom>
                  </pic:spPr>
                </pic:pic>
              </a:graphicData>
            </a:graphic>
          </wp:inline>
        </w:drawing>
      </w:r>
    </w:p>
    <w:bookmarkEnd w:id="383"/>
    <w:bookmarkStart w:name="2855888892" w:id="384"/>
    <w:p>
      <w:pPr>
        <w:spacing w:before="120" w:after="120" w:line="240"/>
        <w:ind w:left="0"/>
        <w:jc w:val="both"/>
      </w:pPr>
      <w:r>
        <w:rPr>
          <w:b w:val="false"/>
          <w:i w:val="false"/>
          <w:color w:val="000000"/>
          <w:sz w:val="24"/>
        </w:rPr>
        <w:t>  А</w:t>
      </w:r>
      <w:r>
        <w:rPr>
          <w:b w:val="false"/>
          <w:i w:val="false"/>
          <w:color w:val="000000"/>
          <w:vertAlign w:val="subscript"/>
        </w:rPr>
        <w:t>2</w:t>
      </w:r>
      <w:r>
        <w:rPr>
          <w:b w:val="false"/>
          <w:i w:val="false"/>
          <w:color w:val="000000"/>
          <w:sz w:val="24"/>
        </w:rPr>
        <w:t xml:space="preserve"> – количество дочернего радионуклида, накопившемся в радионуклидном генераторек настоящему моменту времени</w:t>
      </w:r>
    </w:p>
    <w:bookmarkEnd w:id="384"/>
    <w:bookmarkStart w:name="2855888893" w:id="385"/>
    <w:p>
      <w:pPr>
        <w:spacing w:before="120" w:after="120" w:line="240"/>
        <w:ind w:left="0"/>
        <w:jc w:val="both"/>
      </w:pPr>
      <w:r>
        <w:rPr>
          <w:b w:val="false"/>
          <w:i w:val="false"/>
          <w:color w:val="000000"/>
          <w:sz w:val="24"/>
        </w:rPr>
        <w:t>  А</w:t>
      </w:r>
      <w:r>
        <w:rPr>
          <w:b w:val="false"/>
          <w:i w:val="false"/>
          <w:color w:val="000000"/>
          <w:vertAlign w:val="superscript"/>
        </w:rPr>
        <w:t>0</w:t>
      </w:r>
      <w:r>
        <w:rPr>
          <w:b w:val="false"/>
          <w:i w:val="false"/>
          <w:color w:val="000000"/>
          <w:sz w:val="24"/>
        </w:rPr>
        <w:t xml:space="preserve"> </w:t>
      </w:r>
      <w:r>
        <w:rPr>
          <w:b w:val="false"/>
          <w:i w:val="false"/>
          <w:color w:val="000000"/>
          <w:vertAlign w:val="subscript"/>
        </w:rPr>
        <w:t>1</w:t>
      </w:r>
      <w:r>
        <w:rPr>
          <w:b w:val="false"/>
          <w:i w:val="false"/>
          <w:color w:val="000000"/>
          <w:sz w:val="24"/>
        </w:rPr>
        <w:t xml:space="preserve"> – активность материнского радионуклида на момент зарядки генератора</w:t>
      </w:r>
    </w:p>
    <w:bookmarkEnd w:id="385"/>
    <w:bookmarkStart w:name="2855888894" w:id="386"/>
    <w:p>
      <w:pPr>
        <w:spacing w:before="120" w:after="120" w:line="240"/>
        <w:ind w:left="0"/>
        <w:jc w:val="both"/>
      </w:pPr>
      <w:r>
        <w:rPr>
          <w:b w:val="false"/>
          <w:i w:val="false"/>
          <w:color w:val="000000"/>
          <w:sz w:val="24"/>
        </w:rPr>
        <w:t>  λ</w:t>
      </w:r>
      <w:r>
        <w:rPr>
          <w:b w:val="false"/>
          <w:i w:val="false"/>
          <w:color w:val="000000"/>
          <w:vertAlign w:val="subscript"/>
        </w:rPr>
        <w:t>1</w:t>
      </w:r>
      <w:r>
        <w:rPr>
          <w:b w:val="false"/>
          <w:i w:val="false"/>
          <w:color w:val="000000"/>
          <w:sz w:val="24"/>
        </w:rPr>
        <w:t xml:space="preserve"> – постоянная распада материнского радионуклида</w:t>
      </w:r>
    </w:p>
    <w:bookmarkEnd w:id="386"/>
    <w:bookmarkStart w:name="2855888895" w:id="387"/>
    <w:p>
      <w:pPr>
        <w:spacing w:before="120" w:after="120" w:line="240"/>
        <w:ind w:left="0"/>
        <w:jc w:val="both"/>
      </w:pPr>
      <w:r>
        <w:rPr>
          <w:b w:val="false"/>
          <w:i w:val="false"/>
          <w:color w:val="000000"/>
          <w:sz w:val="24"/>
        </w:rPr>
        <w:t>  λ</w:t>
      </w:r>
      <w:r>
        <w:rPr>
          <w:b w:val="false"/>
          <w:i w:val="false"/>
          <w:color w:val="000000"/>
          <w:vertAlign w:val="subscript"/>
        </w:rPr>
        <w:t>2</w:t>
      </w:r>
      <w:r>
        <w:rPr>
          <w:b w:val="false"/>
          <w:i w:val="false"/>
          <w:color w:val="000000"/>
          <w:sz w:val="24"/>
        </w:rPr>
        <w:t xml:space="preserve"> – постоянная распада дочернего радионуклида</w:t>
      </w:r>
    </w:p>
    <w:bookmarkEnd w:id="387"/>
    <w:bookmarkStart w:name="2855888896"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 время, прошедшее с момента зарядки генератора</w:t>
      </w:r>
    </w:p>
    <w:bookmarkEnd w:id="388"/>
    <w:bookmarkStart w:name="2855888897"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τ– время, прошедшее с момента предыдущего отделения дочернего радионуклида</w:t>
      </w:r>
    </w:p>
    <w:bookmarkEnd w:id="389"/>
    <w:bookmarkStart w:name="2855888898"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Нужно понимать, что это уравнение – это теория, и на практике 100% выхода добиться невозможно. После отделения дочернего радионуклида его активность возрастает со временем и достигает максимума при:</w:t>
      </w:r>
    </w:p>
    <w:bookmarkEnd w:id="390"/>
    <w:bookmarkStart w:name="2855888899" w:id="391"/>
    <w:p>
      <w:pPr>
        <w:spacing w:before="120" w:after="120" w:line="240"/>
        <w:ind w:left="0"/>
        <w:jc w:val="both"/>
      </w:pPr>
      <w:r>
        <w:drawing>
          <wp:inline distT="0" distB="0" distL="0" distR="0">
            <wp:extent cx="1562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62100" cy="812800"/>
                    </a:xfrm>
                    <a:prstGeom prst="rect">
                      <a:avLst/>
                    </a:prstGeom>
                  </pic:spPr>
                </pic:pic>
              </a:graphicData>
            </a:graphic>
          </wp:inline>
        </w:drawing>
      </w:r>
    </w:p>
    <w:bookmarkEnd w:id="391"/>
    <w:bookmarkStart w:name="2855888900"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Отношение активностей дочернего и материнского изотопов выражается следующим образом:</w:t>
      </w:r>
    </w:p>
    <w:bookmarkEnd w:id="392"/>
    <w:bookmarkStart w:name="2855888901" w:id="393"/>
    <w:p>
      <w:pPr>
        <w:spacing w:before="120" w:after="120" w:line="240"/>
        <w:ind w:left="0"/>
        <w:jc w:val="both"/>
      </w:pPr>
      <w:r>
        <w:drawing>
          <wp:inline distT="0" distB="0" distL="0" distR="0">
            <wp:extent cx="299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97200" cy="584200"/>
                    </a:xfrm>
                    <a:prstGeom prst="rect">
                      <a:avLst/>
                    </a:prstGeom>
                  </pic:spPr>
                </pic:pic>
              </a:graphicData>
            </a:graphic>
          </wp:inline>
        </w:drawing>
      </w:r>
    </w:p>
    <w:bookmarkEnd w:id="393"/>
    <w:bookmarkStart w:name="2855888902"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Таким образом, используя полученную конечную формулу рассчитывают остаточную радиоактивность препарата, произведенного на генераторе на каждый день, для расчета количества исследований в рабочую смену.</w:t>
      </w:r>
    </w:p>
    <w:bookmarkEnd w:id="394"/>
    <w:bookmarkStart w:name="2855888903"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расчета индивидуального значения активности, затрачиваемой на каждого пациента, используются нижеприведенные формулы. В зависимости от способа производства РФЛП, генераторного или циклотронного, имеем различные расчеты активности.</w:t>
      </w:r>
    </w:p>
    <w:bookmarkEnd w:id="395"/>
    <w:bookmarkStart w:name="2855888904"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Расчеты активности РФЛП, изготавливаемых на основе генераторных изотопов в диагностических учреждениях.</w:t>
      </w:r>
    </w:p>
    <w:bookmarkEnd w:id="396"/>
    <w:bookmarkStart w:name="2855888905"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изотопам, получаемым генераторным методом относятся:</w:t>
      </w:r>
    </w:p>
    <w:bookmarkEnd w:id="397"/>
    <w:bookmarkStart w:name="2855888906"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технеций-99m из генератора Mo99/Tc99m для проведения сцинтиграфических (ОФЭКТ, ОФЭКТ/КТ) исследований;</w:t>
      </w:r>
    </w:p>
    <w:bookmarkEnd w:id="398"/>
    <w:bookmarkStart w:name="2855888907"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галлий-68 из генератора Ge68/Ga68 для проведения ПЭТ-КТ исследований;</w:t>
      </w:r>
    </w:p>
    <w:bookmarkEnd w:id="399"/>
    <w:bookmarkStart w:name="2855888908"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внутривенного введения РФЛП на основе генераторных изотопов проводятся следующие этапы:</w:t>
      </w:r>
    </w:p>
    <w:bookmarkEnd w:id="400"/>
    <w:bookmarkStart w:name="2855888909"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элюация изотопа из генератора (производится ежедневно утром);</w:t>
      </w:r>
    </w:p>
    <w:bookmarkEnd w:id="401"/>
    <w:bookmarkStart w:name="2855888910"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приготовление РФЛП путем мечения лиофилизатов или проведением синтеза согласно инструкциям производителя;</w:t>
      </w:r>
    </w:p>
    <w:bookmarkEnd w:id="402"/>
    <w:bookmarkStart w:name="2855888911"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проведение контроля качества полученных радиофармпрепаратов;</w:t>
      </w:r>
    </w:p>
    <w:bookmarkEnd w:id="403"/>
    <w:bookmarkStart w:name="2855888912"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введение РФЛП в организм пациента.</w:t>
      </w:r>
    </w:p>
    <w:bookmarkEnd w:id="404"/>
    <w:bookmarkStart w:name="2855888913"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Таким образом, для расчетов необходимой активности РФЛП на разные виды исследований, нужно знать следующие параметры: активность РФЛП, вводимая пациенту; время, затрачиваемое на приготовление РФЛП; время, затрачиваемое на контроль качества РФЛП; время на введение РФЛП пациенту; время между двумя последовательными инъекциями.</w:t>
      </w:r>
    </w:p>
    <w:bookmarkEnd w:id="405"/>
    <w:bookmarkStart w:name="2855888914"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Расчет начальной активности для первого пациента:</w:t>
      </w:r>
    </w:p>
    <w:bookmarkEnd w:id="406"/>
    <w:bookmarkStart w:name="2855888915" w:id="407"/>
    <w:p>
      <w:pPr>
        <w:spacing w:before="120" w:after="120" w:line="240"/>
        <w:ind w:left="0"/>
        <w:jc w:val="both"/>
      </w:pPr>
      <w:r>
        <w:drawing>
          <wp:inline distT="0" distB="0" distL="0" distR="0">
            <wp:extent cx="170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01800" cy="317500"/>
                    </a:xfrm>
                    <a:prstGeom prst="rect">
                      <a:avLst/>
                    </a:prstGeom>
                  </pic:spPr>
                </pic:pic>
              </a:graphicData>
            </a:graphic>
          </wp:inline>
        </w:drawing>
      </w:r>
    </w:p>
    <w:bookmarkEnd w:id="407"/>
    <w:bookmarkStart w:name="2855888916"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08"/>
    <w:bookmarkStart w:name="2855888917" w:id="409"/>
    <w:p>
      <w:pPr>
        <w:spacing w:before="120" w:after="120" w:line="240"/>
        <w:ind w:left="0"/>
        <w:jc w:val="both"/>
      </w:pPr>
      <w:r>
        <w:rPr>
          <w:b w:val="false"/>
          <w:i w:val="false"/>
          <w:color w:val="000000"/>
          <w:sz w:val="24"/>
        </w:rPr>
        <w:t>  А</w:t>
      </w:r>
      <w:r>
        <w:rPr>
          <w:b w:val="false"/>
          <w:i w:val="false"/>
          <w:color w:val="000000"/>
          <w:vertAlign w:val="subscript"/>
        </w:rPr>
        <w:t>1</w:t>
      </w:r>
      <w:r>
        <w:rPr>
          <w:b w:val="false"/>
          <w:i w:val="false"/>
          <w:color w:val="000000"/>
          <w:sz w:val="24"/>
        </w:rPr>
        <w:t xml:space="preserve"> – начальная активность РФЛП (для первого пациента) после элюирования генератора, МБк;</w:t>
      </w:r>
    </w:p>
    <w:bookmarkEnd w:id="409"/>
    <w:bookmarkStart w:name="2855888918" w:id="410"/>
    <w:p>
      <w:pPr>
        <w:spacing w:before="120" w:after="120" w:line="240"/>
        <w:ind w:left="0"/>
        <w:jc w:val="both"/>
      </w:pPr>
      <w:r>
        <w:rPr>
          <w:b w:val="false"/>
          <w:i w:val="false"/>
          <w:color w:val="000000"/>
          <w:sz w:val="24"/>
        </w:rPr>
        <w:t>  А</w:t>
      </w:r>
      <w:r>
        <w:rPr>
          <w:b w:val="false"/>
          <w:i w:val="false"/>
          <w:color w:val="000000"/>
          <w:vertAlign w:val="subscript"/>
        </w:rPr>
        <w:t>inj</w:t>
      </w:r>
      <w:r>
        <w:rPr>
          <w:b w:val="false"/>
          <w:i w:val="false"/>
          <w:color w:val="000000"/>
          <w:sz w:val="24"/>
        </w:rPr>
        <w:t xml:space="preserve"> – активность РФЛП, вводимая первому пациенту, МБк;</w:t>
      </w:r>
    </w:p>
    <w:bookmarkEnd w:id="410"/>
    <w:bookmarkStart w:name="2855888919"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λ – постоянная распада (разная для каждого изотопа);</w:t>
      </w:r>
    </w:p>
    <w:bookmarkEnd w:id="411"/>
    <w:bookmarkStart w:name="2855888920" w:id="412"/>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total</w:t>
      </w:r>
      <w:r>
        <w:rPr>
          <w:rFonts w:hint="default" w:ascii="Times New Roman" w:hAnsi="Times New Roman"/>
          <w:b w:val="false"/>
          <w:i w:val="false"/>
          <w:color w:val="000000"/>
          <w:sz w:val="24"/>
        </w:rPr>
        <w:t xml:space="preserve"> - общее время от элюации до введения РФЛП пациенту, час.</w:t>
      </w:r>
    </w:p>
    <w:bookmarkEnd w:id="412"/>
    <w:bookmarkStart w:name="2855888921" w:id="413"/>
    <w:p>
      <w:pPr>
        <w:spacing w:before="120" w:after="120" w:line="240"/>
        <w:ind w:left="0"/>
        <w:jc w:val="both"/>
      </w:pPr>
      <w:r>
        <w:drawing>
          <wp:inline distT="0" distB="0" distL="0" distR="0">
            <wp:extent cx="273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30500" cy="266700"/>
                    </a:xfrm>
                    <a:prstGeom prst="rect">
                      <a:avLst/>
                    </a:prstGeom>
                  </pic:spPr>
                </pic:pic>
              </a:graphicData>
            </a:graphic>
          </wp:inline>
        </w:drawing>
      </w:r>
    </w:p>
    <w:bookmarkEnd w:id="413"/>
    <w:bookmarkStart w:name="2855888922"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14"/>
    <w:bookmarkStart w:name="2855888923" w:id="415"/>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prep</w:t>
      </w:r>
      <w:r>
        <w:rPr>
          <w:rFonts w:hint="default" w:ascii="Times New Roman" w:hAnsi="Times New Roman"/>
          <w:b w:val="false"/>
          <w:i w:val="false"/>
          <w:color w:val="000000"/>
          <w:sz w:val="24"/>
        </w:rPr>
        <w:t xml:space="preserve"> - время, затрачиваемое на приготовление РФЛП (мечение изотопом), час;</w:t>
      </w:r>
    </w:p>
    <w:bookmarkEnd w:id="415"/>
    <w:bookmarkStart w:name="2855888924" w:id="416"/>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QC</w:t>
      </w:r>
      <w:r>
        <w:rPr>
          <w:rFonts w:hint="default" w:ascii="Times New Roman" w:hAnsi="Times New Roman"/>
          <w:b w:val="false"/>
          <w:i w:val="false"/>
          <w:color w:val="000000"/>
          <w:sz w:val="24"/>
        </w:rPr>
        <w:t xml:space="preserve"> - время, затрачиваемое на контроль качества изготовленного РФЛП, час;</w:t>
      </w:r>
    </w:p>
    <w:bookmarkEnd w:id="416"/>
    <w:bookmarkStart w:name="2855888925" w:id="417"/>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inj</w:t>
      </w:r>
      <w:r>
        <w:rPr>
          <w:rFonts w:hint="default" w:ascii="Times New Roman" w:hAnsi="Times New Roman"/>
          <w:b w:val="false"/>
          <w:i w:val="false"/>
          <w:color w:val="000000"/>
          <w:sz w:val="24"/>
        </w:rPr>
        <w:t xml:space="preserve"> - время, затрачиваемое на введение РФЛП пациенту, час.</w:t>
      </w:r>
    </w:p>
    <w:bookmarkEnd w:id="417"/>
    <w:bookmarkStart w:name="2855888926"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начальной активности для второго пациента:</w:t>
      </w:r>
    </w:p>
    <w:bookmarkEnd w:id="418"/>
    <w:bookmarkStart w:name="2855888927" w:id="419"/>
    <w:p>
      <w:pPr>
        <w:spacing w:before="120" w:after="120" w:line="240"/>
        <w:ind w:left="0"/>
        <w:jc w:val="both"/>
      </w:pPr>
      <w:r>
        <w:drawing>
          <wp:inline distT="0" distB="0" distL="0" distR="0">
            <wp:extent cx="2476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76500" cy="317500"/>
                    </a:xfrm>
                    <a:prstGeom prst="rect">
                      <a:avLst/>
                    </a:prstGeom>
                  </pic:spPr>
                </pic:pic>
              </a:graphicData>
            </a:graphic>
          </wp:inline>
        </w:drawing>
      </w:r>
    </w:p>
    <w:bookmarkEnd w:id="419"/>
    <w:bookmarkStart w:name="2855888928"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20"/>
    <w:bookmarkStart w:name="2855888929" w:id="421"/>
    <w:p>
      <w:pPr>
        <w:spacing w:before="120" w:after="120" w:line="240"/>
        <w:ind w:left="0"/>
        <w:jc w:val="both"/>
      </w:pPr>
      <w:r>
        <w:rPr>
          <w:b w:val="false"/>
          <w:i w:val="false"/>
          <w:color w:val="000000"/>
          <w:sz w:val="24"/>
        </w:rPr>
        <w:t>  А</w:t>
      </w:r>
      <w:r>
        <w:rPr>
          <w:b w:val="false"/>
          <w:i w:val="false"/>
          <w:color w:val="000000"/>
          <w:vertAlign w:val="subscript"/>
        </w:rPr>
        <w:t>2</w:t>
      </w:r>
      <w:r>
        <w:rPr>
          <w:b w:val="false"/>
          <w:i w:val="false"/>
          <w:color w:val="000000"/>
          <w:sz w:val="24"/>
        </w:rPr>
        <w:t xml:space="preserve"> – начальная активность РФЛП (для второго пациента) после элюирования генератора, МБк;</w:t>
      </w:r>
    </w:p>
    <w:bookmarkEnd w:id="421"/>
    <w:bookmarkStart w:name="2855888930" w:id="422"/>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inter</w:t>
      </w:r>
      <w:r>
        <w:rPr>
          <w:rFonts w:hint="default" w:ascii="Times New Roman" w:hAnsi="Times New Roman"/>
          <w:b w:val="false"/>
          <w:i w:val="false"/>
          <w:color w:val="000000"/>
          <w:sz w:val="24"/>
        </w:rPr>
        <w:t xml:space="preserve"> - время между инъекциями первого и второго пациента, час.</w:t>
      </w:r>
    </w:p>
    <w:bookmarkEnd w:id="422"/>
    <w:bookmarkStart w:name="2855888931"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начальной активности для n-ного пациента:</w:t>
      </w:r>
    </w:p>
    <w:bookmarkEnd w:id="423"/>
    <w:bookmarkStart w:name="2855888932" w:id="424"/>
    <w:p>
      <w:pPr>
        <w:spacing w:before="120" w:after="120" w:line="240"/>
        <w:ind w:left="0"/>
        <w:jc w:val="both"/>
      </w:pPr>
      <w:r>
        <w:drawing>
          <wp:inline distT="0" distB="0" distL="0" distR="0">
            <wp:extent cx="292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0" cy="317500"/>
                    </a:xfrm>
                    <a:prstGeom prst="rect">
                      <a:avLst/>
                    </a:prstGeom>
                  </pic:spPr>
                </pic:pic>
              </a:graphicData>
            </a:graphic>
          </wp:inline>
        </w:drawing>
      </w:r>
    </w:p>
    <w:bookmarkEnd w:id="424"/>
    <w:bookmarkStart w:name="2855888933"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25"/>
    <w:bookmarkStart w:name="2855888934" w:id="426"/>
    <w:p>
      <w:pPr>
        <w:spacing w:before="120" w:after="120" w:line="240"/>
        <w:ind w:left="0"/>
        <w:jc w:val="both"/>
      </w:pPr>
      <w:r>
        <w:rPr>
          <w:b w:val="false"/>
          <w:i w:val="false"/>
          <w:color w:val="000000"/>
          <w:sz w:val="24"/>
        </w:rPr>
        <w:t>  А</w:t>
      </w:r>
      <w:r>
        <w:rPr>
          <w:b w:val="false"/>
          <w:i w:val="false"/>
          <w:color w:val="000000"/>
          <w:vertAlign w:val="subscript"/>
        </w:rPr>
        <w:t>n</w:t>
      </w:r>
      <w:r>
        <w:rPr>
          <w:b w:val="false"/>
          <w:i w:val="false"/>
          <w:color w:val="000000"/>
          <w:sz w:val="24"/>
        </w:rPr>
        <w:t xml:space="preserve"> – начальная активность РФЛП (для n-ногопациента) после элюирования генератора, МБк;</w:t>
      </w:r>
    </w:p>
    <w:bookmarkEnd w:id="426"/>
    <w:bookmarkStart w:name="2855888935" w:id="427"/>
    <w:p>
      <w:pPr>
        <w:spacing w:before="120" w:after="120" w:line="240"/>
        <w:ind w:left="0"/>
        <w:jc w:val="both"/>
      </w:pPr>
      <w:r>
        <w:rPr>
          <w:b w:val="false"/>
          <w:i w:val="false"/>
          <w:color w:val="000000"/>
          <w:sz w:val="24"/>
        </w:rPr>
        <w:t>  А</w:t>
      </w:r>
      <w:r>
        <w:rPr>
          <w:b w:val="false"/>
          <w:i w:val="false"/>
          <w:color w:val="000000"/>
          <w:vertAlign w:val="subscript"/>
        </w:rPr>
        <w:t>inj</w:t>
      </w:r>
      <w:r>
        <w:rPr>
          <w:b w:val="false"/>
          <w:i w:val="false"/>
          <w:color w:val="000000"/>
          <w:sz w:val="24"/>
        </w:rPr>
        <w:t xml:space="preserve"> – активность РФЛП, вводимая n-ному пациенту, МБк;</w:t>
      </w:r>
    </w:p>
    <w:bookmarkEnd w:id="427"/>
    <w:bookmarkStart w:name="2855888936"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λ – постоянная распада (разная для каждого изотопа);</w:t>
      </w:r>
    </w:p>
    <w:bookmarkEnd w:id="428"/>
    <w:bookmarkStart w:name="2855888937" w:id="429"/>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total</w:t>
      </w:r>
      <w:r>
        <w:rPr>
          <w:rFonts w:hint="default" w:ascii="Times New Roman" w:hAnsi="Times New Roman"/>
          <w:b w:val="false"/>
          <w:i w:val="false"/>
          <w:color w:val="000000"/>
          <w:sz w:val="24"/>
        </w:rPr>
        <w:t xml:space="preserve"> - общее время от элюации до введения РФЛП пациенту, час;</w:t>
      </w:r>
    </w:p>
    <w:bookmarkEnd w:id="429"/>
    <w:bookmarkStart w:name="2855888938" w:id="430"/>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inter</w:t>
      </w:r>
      <w:r>
        <w:rPr>
          <w:rFonts w:hint="default" w:ascii="Times New Roman" w:hAnsi="Times New Roman"/>
          <w:b w:val="false"/>
          <w:i w:val="false"/>
          <w:color w:val="000000"/>
          <w:sz w:val="24"/>
        </w:rPr>
        <w:t xml:space="preserve"> - время между инъекциями (n-1)-го и n-ного пациента, час.</w:t>
      </w:r>
    </w:p>
    <w:bookmarkEnd w:id="430"/>
    <w:bookmarkStart w:name="2855888939"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n – последовательный номер пациента.</w:t>
      </w:r>
    </w:p>
    <w:bookmarkEnd w:id="431"/>
    <w:bookmarkStart w:name="2855888940"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Расчеты активности готовых РФЛП (на основе изотопов, получаемых циклотронным методом)</w:t>
      </w:r>
    </w:p>
    <w:bookmarkEnd w:id="432"/>
    <w:bookmarkStart w:name="2855888941"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РФЛП на основе циклотронных изотопов производятся на производственных площадках, и поступают в диагностические подразделения уже в готовом виде.</w:t>
      </w:r>
    </w:p>
    <w:bookmarkEnd w:id="433"/>
    <w:bookmarkStart w:name="2855888942"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внутривенного введения РФЛП на основе циклотронных изотопов проводятся следующие этапы:</w:t>
      </w:r>
    </w:p>
    <w:bookmarkEnd w:id="434"/>
    <w:bookmarkStart w:name="2855888943"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фасовка РФЛП;</w:t>
      </w:r>
    </w:p>
    <w:bookmarkEnd w:id="435"/>
    <w:bookmarkStart w:name="2855888944"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введение РФЛП в организм пациента.</w:t>
      </w:r>
    </w:p>
    <w:bookmarkEnd w:id="436"/>
    <w:bookmarkStart w:name="2855888945"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Таким образом, для расчетов необходимой активности РФЛП на разные виды исследований, нужно знать следующие параметры: активность РФЛП, вводимая пациенту; время, затрачиваемое на фасовку РФЛП; время на введение РФЛП пациенту; время между двумя последовательными инъекциями.</w:t>
      </w:r>
    </w:p>
    <w:bookmarkEnd w:id="437"/>
    <w:bookmarkStart w:name="2855888946"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начальной активности для первого пациента:</w:t>
      </w:r>
    </w:p>
    <w:bookmarkEnd w:id="438"/>
    <w:bookmarkStart w:name="2855888947" w:id="439"/>
    <w:p>
      <w:pPr>
        <w:spacing w:before="120" w:after="120" w:line="240"/>
        <w:ind w:left="0"/>
        <w:jc w:val="both"/>
      </w:pPr>
      <w:r>
        <w:drawing>
          <wp:inline distT="0" distB="0" distL="0" distR="0">
            <wp:extent cx="172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27200" cy="317500"/>
                    </a:xfrm>
                    <a:prstGeom prst="rect">
                      <a:avLst/>
                    </a:prstGeom>
                  </pic:spPr>
                </pic:pic>
              </a:graphicData>
            </a:graphic>
          </wp:inline>
        </w:drawing>
      </w:r>
    </w:p>
    <w:bookmarkEnd w:id="439"/>
    <w:bookmarkStart w:name="2855888948"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40"/>
    <w:bookmarkStart w:name="2855888949" w:id="441"/>
    <w:p>
      <w:pPr>
        <w:spacing w:before="120" w:after="120" w:line="240"/>
        <w:ind w:left="0"/>
        <w:jc w:val="both"/>
      </w:pPr>
      <w:r>
        <w:rPr>
          <w:b w:val="false"/>
          <w:i w:val="false"/>
          <w:color w:val="000000"/>
          <w:sz w:val="24"/>
        </w:rPr>
        <w:t>  А</w:t>
      </w:r>
      <w:r>
        <w:rPr>
          <w:b w:val="false"/>
          <w:i w:val="false"/>
          <w:color w:val="000000"/>
          <w:vertAlign w:val="subscript"/>
        </w:rPr>
        <w:t>1</w:t>
      </w:r>
      <w:r>
        <w:rPr>
          <w:b w:val="false"/>
          <w:i w:val="false"/>
          <w:color w:val="000000"/>
          <w:sz w:val="24"/>
        </w:rPr>
        <w:t xml:space="preserve"> – начальная активность РФЛП (для первого пациента) до фасовки, МБк;</w:t>
      </w:r>
    </w:p>
    <w:bookmarkEnd w:id="441"/>
    <w:bookmarkStart w:name="2855888950" w:id="442"/>
    <w:p>
      <w:pPr>
        <w:spacing w:before="120" w:after="120" w:line="240"/>
        <w:ind w:left="0"/>
        <w:jc w:val="both"/>
      </w:pPr>
      <w:r>
        <w:rPr>
          <w:b w:val="false"/>
          <w:i w:val="false"/>
          <w:color w:val="000000"/>
          <w:sz w:val="24"/>
        </w:rPr>
        <w:t>  А</w:t>
      </w:r>
      <w:r>
        <w:rPr>
          <w:b w:val="false"/>
          <w:i w:val="false"/>
          <w:color w:val="000000"/>
          <w:vertAlign w:val="subscript"/>
        </w:rPr>
        <w:t>inj</w:t>
      </w:r>
      <w:r>
        <w:rPr>
          <w:b w:val="false"/>
          <w:i w:val="false"/>
          <w:color w:val="000000"/>
          <w:sz w:val="24"/>
        </w:rPr>
        <w:t xml:space="preserve"> – активность РФЛП, вводимая первому пациенту, МБк;</w:t>
      </w:r>
    </w:p>
    <w:bookmarkEnd w:id="442"/>
    <w:bookmarkStart w:name="2855888951"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λ – постоянная распада (разная для каждого изотопа);</w:t>
      </w:r>
    </w:p>
    <w:bookmarkEnd w:id="443"/>
    <w:bookmarkStart w:name="2855888952" w:id="444"/>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total</w:t>
      </w:r>
      <w:r>
        <w:rPr>
          <w:rFonts w:hint="default" w:ascii="Times New Roman" w:hAnsi="Times New Roman"/>
          <w:b w:val="false"/>
          <w:i w:val="false"/>
          <w:color w:val="000000"/>
          <w:sz w:val="24"/>
        </w:rPr>
        <w:t xml:space="preserve"> - общее время от начала фасовки до введения РФЛП пациенту, час.</w:t>
      </w:r>
    </w:p>
    <w:bookmarkEnd w:id="444"/>
    <w:bookmarkStart w:name="2855888953" w:id="445"/>
    <w:p>
      <w:pPr>
        <w:spacing w:before="120" w:after="120" w:line="240"/>
        <w:ind w:left="0"/>
        <w:jc w:val="both"/>
      </w:pPr>
      <w:r>
        <w:drawing>
          <wp:inline distT="0" distB="0" distL="0" distR="0">
            <wp:extent cx="208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82800" cy="254000"/>
                    </a:xfrm>
                    <a:prstGeom prst="rect">
                      <a:avLst/>
                    </a:prstGeom>
                  </pic:spPr>
                </pic:pic>
              </a:graphicData>
            </a:graphic>
          </wp:inline>
        </w:drawing>
      </w:r>
    </w:p>
    <w:bookmarkEnd w:id="445"/>
    <w:bookmarkStart w:name="2855888954"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46"/>
    <w:bookmarkStart w:name="2855888955" w:id="447"/>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pack</w:t>
      </w:r>
      <w:r>
        <w:rPr>
          <w:rFonts w:hint="default" w:ascii="Times New Roman" w:hAnsi="Times New Roman"/>
          <w:b w:val="false"/>
          <w:i w:val="false"/>
          <w:color w:val="000000"/>
          <w:sz w:val="24"/>
        </w:rPr>
        <w:t xml:space="preserve"> - время, затрачиваемое на фасовку РФЛП, час;</w:t>
      </w:r>
    </w:p>
    <w:bookmarkEnd w:id="447"/>
    <w:bookmarkStart w:name="2855888956" w:id="448"/>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inj</w:t>
      </w:r>
      <w:r>
        <w:rPr>
          <w:rFonts w:hint="default" w:ascii="Times New Roman" w:hAnsi="Times New Roman"/>
          <w:b w:val="false"/>
          <w:i w:val="false"/>
          <w:color w:val="000000"/>
          <w:sz w:val="24"/>
        </w:rPr>
        <w:t xml:space="preserve"> - время, затрачиваемое на введение РФЛП пациенту, час.</w:t>
      </w:r>
    </w:p>
    <w:bookmarkEnd w:id="448"/>
    <w:bookmarkStart w:name="2855888957"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начальной активности для второго пациента:</w:t>
      </w:r>
    </w:p>
    <w:bookmarkEnd w:id="449"/>
    <w:bookmarkStart w:name="2855888958" w:id="450"/>
    <w:p>
      <w:pPr>
        <w:spacing w:before="120" w:after="120" w:line="240"/>
        <w:ind w:left="0"/>
        <w:jc w:val="both"/>
      </w:pPr>
      <w:r>
        <w:drawing>
          <wp:inline distT="0" distB="0" distL="0" distR="0">
            <wp:extent cx="229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98700" cy="317500"/>
                    </a:xfrm>
                    <a:prstGeom prst="rect">
                      <a:avLst/>
                    </a:prstGeom>
                  </pic:spPr>
                </pic:pic>
              </a:graphicData>
            </a:graphic>
          </wp:inline>
        </w:drawing>
      </w:r>
    </w:p>
    <w:bookmarkEnd w:id="450"/>
    <w:bookmarkStart w:name="2855888959"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51"/>
    <w:bookmarkStart w:name="2855888960" w:id="452"/>
    <w:p>
      <w:pPr>
        <w:spacing w:before="120" w:after="120" w:line="240"/>
        <w:ind w:left="0"/>
        <w:jc w:val="both"/>
      </w:pPr>
      <w:r>
        <w:rPr>
          <w:b w:val="false"/>
          <w:i w:val="false"/>
          <w:color w:val="000000"/>
          <w:sz w:val="24"/>
        </w:rPr>
        <w:t>  А</w:t>
      </w:r>
      <w:r>
        <w:rPr>
          <w:b w:val="false"/>
          <w:i w:val="false"/>
          <w:color w:val="000000"/>
          <w:vertAlign w:val="subscript"/>
        </w:rPr>
        <w:t>2</w:t>
      </w:r>
      <w:r>
        <w:rPr>
          <w:b w:val="false"/>
          <w:i w:val="false"/>
          <w:color w:val="000000"/>
          <w:sz w:val="24"/>
        </w:rPr>
        <w:t xml:space="preserve"> – начальная активность РФЛП (для второго пациента) до фасовки, МБк;</w:t>
      </w:r>
    </w:p>
    <w:bookmarkEnd w:id="452"/>
    <w:bookmarkStart w:name="2855888961" w:id="453"/>
    <w:p>
      <w:pPr>
        <w:spacing w:before="120" w:after="120" w:line="240"/>
        <w:ind w:left="0"/>
        <w:jc w:val="both"/>
      </w:pPr>
      <w:r>
        <w:rPr>
          <w:b w:val="false"/>
          <w:i w:val="false"/>
          <w:color w:val="000000"/>
          <w:sz w:val="24"/>
        </w:rPr>
        <w:t>  А</w:t>
      </w:r>
      <w:r>
        <w:rPr>
          <w:b w:val="false"/>
          <w:i w:val="false"/>
          <w:color w:val="000000"/>
          <w:vertAlign w:val="subscript"/>
        </w:rPr>
        <w:t>inj</w:t>
      </w:r>
      <w:r>
        <w:rPr>
          <w:b w:val="false"/>
          <w:i w:val="false"/>
          <w:color w:val="000000"/>
          <w:sz w:val="24"/>
        </w:rPr>
        <w:t xml:space="preserve"> – активность РФЛП, вводимая второму пациенту, МБк;</w:t>
      </w:r>
    </w:p>
    <w:bookmarkEnd w:id="453"/>
    <w:bookmarkStart w:name="2855888962" w:id="454"/>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inter</w:t>
      </w:r>
      <w:r>
        <w:rPr>
          <w:rFonts w:hint="default" w:ascii="Times New Roman" w:hAnsi="Times New Roman"/>
          <w:b w:val="false"/>
          <w:i w:val="false"/>
          <w:color w:val="000000"/>
          <w:sz w:val="24"/>
        </w:rPr>
        <w:t xml:space="preserve"> - время между инъекциями первого и второго пациента, час.</w:t>
      </w:r>
    </w:p>
    <w:bookmarkEnd w:id="454"/>
    <w:bookmarkStart w:name="2855888963"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Расчет начальной активности для n-ного пациента:</w:t>
      </w:r>
    </w:p>
    <w:bookmarkEnd w:id="455"/>
    <w:bookmarkStart w:name="2855888964" w:id="456"/>
    <w:p>
      <w:pPr>
        <w:spacing w:before="120" w:after="120" w:line="240"/>
        <w:ind w:left="0"/>
        <w:jc w:val="both"/>
      </w:pPr>
      <w:r>
        <w:drawing>
          <wp:inline distT="0" distB="0" distL="0" distR="0">
            <wp:extent cx="289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895600" cy="317500"/>
                    </a:xfrm>
                    <a:prstGeom prst="rect">
                      <a:avLst/>
                    </a:prstGeom>
                  </pic:spPr>
                </pic:pic>
              </a:graphicData>
            </a:graphic>
          </wp:inline>
        </w:drawing>
      </w:r>
    </w:p>
    <w:bookmarkEnd w:id="456"/>
    <w:bookmarkStart w:name="2855888965"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где:</w:t>
      </w:r>
    </w:p>
    <w:bookmarkEnd w:id="457"/>
    <w:bookmarkStart w:name="2855888966" w:id="458"/>
    <w:p>
      <w:pPr>
        <w:spacing w:before="120" w:after="120" w:line="240"/>
        <w:ind w:left="0"/>
        <w:jc w:val="both"/>
      </w:pPr>
      <w:r>
        <w:rPr>
          <w:b w:val="false"/>
          <w:i w:val="false"/>
          <w:color w:val="000000"/>
          <w:sz w:val="24"/>
        </w:rPr>
        <w:t>  А</w:t>
      </w:r>
      <w:r>
        <w:rPr>
          <w:b w:val="false"/>
          <w:i w:val="false"/>
          <w:color w:val="000000"/>
          <w:vertAlign w:val="subscript"/>
        </w:rPr>
        <w:t>n</w:t>
      </w:r>
      <w:r>
        <w:rPr>
          <w:b w:val="false"/>
          <w:i w:val="false"/>
          <w:color w:val="000000"/>
          <w:sz w:val="24"/>
        </w:rPr>
        <w:t xml:space="preserve"> – начальная активность РФЛП (для n-ногопациента) до фасовки, МБк;</w:t>
      </w:r>
    </w:p>
    <w:bookmarkEnd w:id="458"/>
    <w:bookmarkStart w:name="2855888967" w:id="459"/>
    <w:p>
      <w:pPr>
        <w:spacing w:before="120" w:after="120" w:line="240"/>
        <w:ind w:left="0"/>
        <w:jc w:val="both"/>
      </w:pPr>
      <w:r>
        <w:rPr>
          <w:b w:val="false"/>
          <w:i w:val="false"/>
          <w:color w:val="000000"/>
          <w:sz w:val="24"/>
        </w:rPr>
        <w:t>  А</w:t>
      </w:r>
      <w:r>
        <w:rPr>
          <w:b w:val="false"/>
          <w:i w:val="false"/>
          <w:color w:val="000000"/>
          <w:vertAlign w:val="subscript"/>
        </w:rPr>
        <w:t>inj</w:t>
      </w:r>
      <w:r>
        <w:rPr>
          <w:b w:val="false"/>
          <w:i w:val="false"/>
          <w:color w:val="000000"/>
          <w:sz w:val="24"/>
        </w:rPr>
        <w:t xml:space="preserve"> – активность РФЛП, вводимая n-ному пациенту, МБк;</w:t>
      </w:r>
    </w:p>
    <w:bookmarkEnd w:id="459"/>
    <w:bookmarkStart w:name="2855888968"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λ – постоянная распада (разная для каждого изотопа);</w:t>
      </w:r>
    </w:p>
    <w:bookmarkEnd w:id="460"/>
    <w:bookmarkStart w:name="2855888969" w:id="461"/>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total</w:t>
      </w:r>
      <w:r>
        <w:rPr>
          <w:rFonts w:hint="default" w:ascii="Times New Roman" w:hAnsi="Times New Roman"/>
          <w:b w:val="false"/>
          <w:i w:val="false"/>
          <w:color w:val="000000"/>
          <w:sz w:val="24"/>
        </w:rPr>
        <w:t xml:space="preserve"> - общее время от начала фасовки до введения РФЛП пациенту, час;</w:t>
      </w:r>
    </w:p>
    <w:bookmarkEnd w:id="461"/>
    <w:bookmarkStart w:name="2855888970" w:id="462"/>
    <w:p>
      <w:pPr>
        <w:spacing w:before="120" w:after="120" w:line="240"/>
        <w:ind w:left="0"/>
        <w:jc w:val="both"/>
      </w:pPr>
      <w:r>
        <w:rPr>
          <w:rFonts w:hint="default" w:ascii="Times New Roman" w:hAnsi="Times New Roman"/>
          <w:b w:val="false"/>
          <w:i w:val="false"/>
          <w:color w:val="000000"/>
          <w:sz w:val="24"/>
        </w:rPr>
        <w:t>t</w:t>
      </w:r>
      <w:r>
        <w:rPr>
          <w:rFonts w:hint="default" w:ascii="Times New Roman" w:hAnsi="Times New Roman"/>
          <w:b w:val="false"/>
          <w:i w:val="false"/>
          <w:color w:val="000000"/>
          <w:vertAlign w:val="subscript"/>
        </w:rPr>
        <w:t>inter</w:t>
      </w:r>
      <w:r>
        <w:rPr>
          <w:rFonts w:hint="default" w:ascii="Times New Roman" w:hAnsi="Times New Roman"/>
          <w:b w:val="false"/>
          <w:i w:val="false"/>
          <w:color w:val="000000"/>
          <w:sz w:val="24"/>
        </w:rPr>
        <w:t xml:space="preserve"> - время между инъекциями (n-1)-го и n-ного пациента, час.</w:t>
      </w:r>
    </w:p>
    <w:bookmarkEnd w:id="462"/>
    <w:bookmarkStart w:name="2855888971"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n – последовательный номер пациента.</w:t>
      </w:r>
    </w:p>
    <w:bookmarkEnd w:id="463"/>
    <w:bookmarkStart w:name="2855888972"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Следовательно, для теоретического расчета необходимой активности РФЛП используются вышеуказанные формулы.</w:t>
      </w:r>
    </w:p>
    <w:bookmarkEnd w:id="464"/>
    <w:bookmarkStart w:name="2855888973" w:id="465"/>
    <w:p>
      <w:pPr>
        <w:spacing w:before="120" w:after="120" w:line="240"/>
        <w:ind w:left="0"/>
        <w:jc w:val="right"/>
      </w:pPr>
      <w:r>
        <w:rPr>
          <w:rFonts w:hint="default" w:ascii="Times New Roman" w:hAnsi="Times New Roman"/>
          <w:b/>
          <w:i w:val="false"/>
          <w:color w:val="000000"/>
          <w:sz w:val="24"/>
        </w:rPr>
        <w:t>Приложение 10</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465"/>
    <w:bookmarkStart w:name="2855888975" w:id="466"/>
    <w:p>
      <w:pPr>
        <w:spacing w:before="120" w:after="120" w:line="240"/>
        <w:ind w:left="0"/>
        <w:jc w:val="both"/>
      </w:pPr>
      <w:r>
        <w:rPr>
          <w:rFonts w:hint="default" w:ascii="Times New Roman" w:hAnsi="Times New Roman"/>
          <w:b/>
          <w:i w:val="false"/>
          <w:color w:val="000000"/>
          <w:sz w:val="24"/>
        </w:rPr>
        <w:t>Штат работников организаций, оказывающих медицинскую помощь в областя ядерной медицины</w:t>
      </w:r>
    </w:p>
    <w:bookmarkEnd w:id="466"/>
    <w:bookmarkStart w:name="2855888976" w:id="467"/>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30"/>
        <w:gridCol w:w="3458"/>
        <w:gridCol w:w="4772"/>
      </w:tblGrid>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Наименование должности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Количество единиц</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Квалификационная характеристика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Административно-управленческий персонал</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Руководитель центра ядерной медицины</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по специальности «Лучевая диагностика» (Ядерная медицина), наличием степени магистра и (или) ученой степени (кандидат медицинских наук, доктор медицинских наук, доктор философии (PhD), опыт работы в ядерной медицине не менее 5 лет</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радиоизотопной (радионуклидной) диагностики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по специальности «Лучевая диагностика» (Ядерная медицина), опыт работы в ядерной медицине не менее 3 лет</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радиоизотопной (радионуклидной) диагностики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по специальности «Лучевая диагностика» (Ядерная медицина), опыт работы в ядерной медицине не менее 3 лет</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Главный инженер</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(или послевузовским) образованием по соответствующему направлению подготовки кадров, стаж работы на руководящих должностях в соответствующем профилю организации не менее 5 лет</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(комплексом) производства и контроля качества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радиофармацевтического лекарственного препарата (далее – РФЛП) не менее 3 лет,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(отдела) производства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РФЛП не менее 3 лет,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(отдела) контроля качества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РФЛП не менее 3 лет,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(отдела) обеспечения качества по надлежащей производственной практики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РФЛП не менее 3 лет,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радиационной безопасности и медицинской физики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образованием (специальность «Ядерная физика», «Физика», «Техническая физика», «Медицинская физика»), опыт работы по радиационной безопасности или медицинской физики в области ядерной медицины или в сфере обращения с источниками ионизирующего излучения не менее 3 лет, владение методами радиационного контроля измерений в объеме,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Заведующий отделением инженерно-технического обеспечения центра ядерной медицины (при организации отделения как отдельного структурного подразделения)</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 опыт работы на производстве, в области ядерной медицины, лучевой терапии не менее 3 лет,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работы ядерных энергетических установок, природоохранной технологии, энергетического аудита, знание принципов надлежащей производственной практики, квалификационная группа допуска по электробезопасности 4, допуск к обслуживанию сосудов под давлением, аттестация по правилам, нормам и инструкциям по промышленной безопасности</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производства и контроля качества радиофармацевтических лекарственных препаратов</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циклотрона производства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образованием (специальность «Ядерная физика», «Физика», «Техническая физика», «Медицинская физика»). Опыт работы в области ядерной медицины, ускорительной техники, производства РФЛП, а также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Радиохимик-технолог по производству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единиц в смену* при производстве одного РФЛП</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химическим или фармацевтическим образованием.</w:t>
            </w:r>
          </w:p>
          <w:p>
            <w:pPr>
              <w:spacing w:after="0"/>
              <w:ind w:left="0"/>
              <w:jc w:val="left"/>
            </w:pPr>
            <w:r>
              <w:rPr>
                <w:rFonts w:hint="default" w:ascii="Times New Roman" w:hAnsi="Times New Roman"/>
                <w:b w:val="false"/>
                <w:i w:val="false"/>
                <w:color w:val="000000"/>
                <w:sz w:val="24"/>
              </w:rPr>
              <w:t>Опыт работы в области производства лекарственных средств, технических сред,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Радиофармацевт</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единиц в смену при производстве, фасовке одного РФЛП</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или средне-специальным фармацевтическим образованием по специальности «Фармация».</w:t>
            </w:r>
          </w:p>
          <w:p>
            <w:pPr>
              <w:spacing w:after="0"/>
              <w:ind w:left="0"/>
              <w:jc w:val="left"/>
            </w:pPr>
            <w:r>
              <w:rPr>
                <w:rFonts w:hint="default" w:ascii="Times New Roman" w:hAnsi="Times New Roman"/>
                <w:b w:val="false"/>
                <w:i w:val="false"/>
                <w:color w:val="000000"/>
                <w:sz w:val="24"/>
              </w:rPr>
              <w:t>Опыт работы в области производства лекарственных средств, технических сред,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Радиохимик-аналитик по контролю качества</w:t>
            </w:r>
          </w:p>
          <w:p>
            <w:pPr>
              <w:spacing w:after="0"/>
              <w:ind w:left="0"/>
              <w:jc w:val="left"/>
            </w:pPr>
            <w:r>
              <w:rPr>
                <w:rFonts w:hint="default" w:ascii="Times New Roman" w:hAnsi="Times New Roman"/>
                <w:b w:val="false"/>
                <w:i w:val="false"/>
                <w:color w:val="000000"/>
                <w:sz w:val="24"/>
              </w:rPr>
              <w:t>радиофармацевтических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3 единиц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фармацевтическим, химико-технологическим, химическим или биологическим образованием.</w:t>
            </w:r>
          </w:p>
          <w:p>
            <w:pPr>
              <w:spacing w:after="0"/>
              <w:ind w:left="0"/>
              <w:jc w:val="left"/>
            </w:pPr>
            <w:r>
              <w:rPr>
                <w:rFonts w:hint="default" w:ascii="Times New Roman" w:hAnsi="Times New Roman"/>
                <w:b w:val="false"/>
                <w:i w:val="false"/>
                <w:color w:val="000000"/>
                <w:sz w:val="24"/>
              </w:rPr>
              <w:t>Опыт работы в области контроля качества лекарственных средств, технических сред, а также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Лаборант контроля качества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 в смену при производстве одного РФЛП</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или средне-специальным фармацевтическим, химическим, биологическим, технологическим образованием.</w:t>
            </w:r>
          </w:p>
          <w:p>
            <w:pPr>
              <w:spacing w:after="0"/>
              <w:ind w:left="0"/>
              <w:jc w:val="left"/>
            </w:pPr>
            <w:r>
              <w:rPr>
                <w:rFonts w:hint="default" w:ascii="Times New Roman" w:hAnsi="Times New Roman"/>
                <w:b w:val="false"/>
                <w:i w:val="false"/>
                <w:color w:val="000000"/>
                <w:sz w:val="24"/>
              </w:rPr>
              <w:t>Опыт работы в области контроля качества лекарственных средств, технических сред, а также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Микробиолог</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биологическим образованием. Опыт работы в области контроля качества лекарственных средств, технических сред, а также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обеспечения качества радиофармацевтических лекарственных препаратов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фармацевтическим, химическим, биологическим, физико-техническим, медицинским (общественное здравоохранение) образованием.</w:t>
            </w:r>
          </w:p>
          <w:p>
            <w:pPr>
              <w:spacing w:after="0"/>
              <w:ind w:left="0"/>
              <w:jc w:val="left"/>
            </w:pPr>
            <w:r>
              <w:rPr>
                <w:rFonts w:hint="default" w:ascii="Times New Roman" w:hAnsi="Times New Roman"/>
                <w:b w:val="false"/>
                <w:i w:val="false"/>
                <w:color w:val="000000"/>
                <w:sz w:val="24"/>
              </w:rPr>
              <w:t>Опыт работы в области производства лекарственных средств, знание принципов надлежащей производственной практики, валидации и квалификации процессов производства</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Старший радиофармацевт</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или средне-специальным фармацевтическим образованием по специальности «Фармация».</w:t>
            </w:r>
          </w:p>
          <w:p>
            <w:pPr>
              <w:spacing w:after="0"/>
              <w:ind w:left="0"/>
              <w:jc w:val="left"/>
            </w:pPr>
            <w:r>
              <w:rPr>
                <w:rFonts w:hint="default" w:ascii="Times New Roman" w:hAnsi="Times New Roman"/>
                <w:b w:val="false"/>
                <w:i w:val="false"/>
                <w:color w:val="000000"/>
                <w:sz w:val="24"/>
              </w:rPr>
              <w:t>Опыта работы в области производства лекарственных средств, технических сред,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Сестра-хозяйка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Лицо со средним образованием.</w:t>
            </w:r>
          </w:p>
          <w:p>
            <w:pPr>
              <w:spacing w:after="0"/>
              <w:ind w:left="0"/>
              <w:jc w:val="left"/>
            </w:pPr>
            <w:r>
              <w:rPr>
                <w:rFonts w:hint="default" w:ascii="Times New Roman" w:hAnsi="Times New Roman"/>
                <w:b w:val="false"/>
                <w:i w:val="false"/>
                <w:color w:val="000000"/>
                <w:sz w:val="24"/>
              </w:rPr>
              <w:t>Предпочтительно наличие опыта работы в области производства РФЛП или лекарственных средств,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Санитарка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3 единиц в смену (зависит от площади)</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Лицо со средним образованием.</w:t>
            </w:r>
          </w:p>
          <w:p>
            <w:pPr>
              <w:spacing w:after="0"/>
              <w:ind w:left="0"/>
              <w:jc w:val="left"/>
            </w:pPr>
            <w:r>
              <w:rPr>
                <w:rFonts w:hint="default" w:ascii="Times New Roman" w:hAnsi="Times New Roman"/>
                <w:b w:val="false"/>
                <w:i w:val="false"/>
                <w:color w:val="000000"/>
                <w:sz w:val="24"/>
              </w:rPr>
              <w:t>Опыт работы в области производства лекарственных средств, знание принципов надлежащей производственной практики</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радиационной безопасности и медицинской физики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радиационной безопасности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Радиоизотопная диагностика –</w:t>
            </w:r>
          </w:p>
          <w:p>
            <w:pPr>
              <w:spacing w:after="0"/>
              <w:ind w:left="0"/>
              <w:jc w:val="left"/>
            </w:pPr>
            <w:r>
              <w:rPr>
                <w:rFonts w:hint="default" w:ascii="Times New Roman" w:hAnsi="Times New Roman"/>
                <w:b w:val="false"/>
                <w:i w:val="false"/>
                <w:color w:val="000000"/>
                <w:sz w:val="24"/>
              </w:rPr>
              <w:t>не менее 1 единицы на аппарат в смену (ПЭТ), однофотонный эмиссионный компьютерный томограф (далее – ОФЭКТ) малоформатная гамма-камера), Производство РФЛП – не менее 2 единиц в смену,</w:t>
            </w:r>
          </w:p>
          <w:p>
            <w:pPr>
              <w:spacing w:after="0"/>
              <w:ind w:left="0"/>
              <w:jc w:val="left"/>
            </w:pPr>
            <w:r>
              <w:rPr>
                <w:rFonts w:hint="default" w:ascii="Times New Roman" w:hAnsi="Times New Roman"/>
                <w:b w:val="false"/>
                <w:i w:val="false"/>
                <w:color w:val="000000"/>
                <w:sz w:val="24"/>
              </w:rPr>
              <w:t>Радионуклидная терапия –</w:t>
            </w:r>
          </w:p>
          <w:p>
            <w:pPr>
              <w:spacing w:after="0"/>
              <w:ind w:left="0"/>
              <w:jc w:val="left"/>
            </w:pPr>
            <w:r>
              <w:rPr>
                <w:rFonts w:hint="default" w:ascii="Times New Roman" w:hAnsi="Times New Roman"/>
                <w:b w:val="false"/>
                <w:i w:val="false"/>
                <w:color w:val="000000"/>
                <w:sz w:val="24"/>
              </w:rPr>
              <w:t>не менее 1 единицы на 5 «активных» коек</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физическим или техническим образованием.</w:t>
            </w:r>
          </w:p>
          <w:p>
            <w:pPr>
              <w:spacing w:after="0"/>
              <w:ind w:left="0"/>
              <w:jc w:val="left"/>
            </w:pPr>
            <w:r>
              <w:rPr>
                <w:rFonts w:hint="default" w:ascii="Times New Roman" w:hAnsi="Times New Roman"/>
                <w:b w:val="false"/>
                <w:i w:val="false"/>
                <w:color w:val="000000"/>
                <w:sz w:val="24"/>
              </w:rPr>
              <w:t>Опыт работы по радиационной безопасности или медицинской физики в области ядерной медицины или в сфере обращения с источниками ионизирующего излучения, а также владение методами радиационного контроля измерений в объеме для эффективного выполнения своих функций, знание принципов надлежащей производственной практики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Медицинский физик</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Радиоизотопная диагностика –</w:t>
            </w:r>
          </w:p>
          <w:p>
            <w:pPr>
              <w:spacing w:after="0"/>
              <w:ind w:left="0"/>
              <w:jc w:val="left"/>
            </w:pPr>
            <w:r>
              <w:rPr>
                <w:rFonts w:hint="default" w:ascii="Times New Roman" w:hAnsi="Times New Roman"/>
                <w:b w:val="false"/>
                <w:i w:val="false"/>
                <w:color w:val="000000"/>
                <w:sz w:val="24"/>
              </w:rPr>
              <w:t>не менее 2 единицы в смену (ПЭТ, ОФЭКТ, малоформатная гамма-камера),</w:t>
            </w:r>
          </w:p>
          <w:p>
            <w:pPr>
              <w:spacing w:after="0"/>
              <w:ind w:left="0"/>
              <w:jc w:val="left"/>
            </w:pPr>
            <w:r>
              <w:rPr>
                <w:rFonts w:hint="default" w:ascii="Times New Roman" w:hAnsi="Times New Roman"/>
                <w:b w:val="false"/>
                <w:i w:val="false"/>
                <w:color w:val="000000"/>
                <w:sz w:val="24"/>
              </w:rPr>
              <w:t>Радионуклидная терапия -</w:t>
            </w:r>
          </w:p>
          <w:p>
            <w:pPr>
              <w:spacing w:after="0"/>
              <w:ind w:left="0"/>
              <w:jc w:val="left"/>
            </w:pPr>
            <w:r>
              <w:rPr>
                <w:rFonts w:hint="default" w:ascii="Times New Roman" w:hAnsi="Times New Roman"/>
                <w:b w:val="false"/>
                <w:i w:val="false"/>
                <w:color w:val="000000"/>
                <w:sz w:val="24"/>
              </w:rPr>
              <w:t>не менее 1 единицы на 5 «активных» коек</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физико-техническим образованием (специальность «Ядерная физика», «Медицинская физика», «Техническая физика»). Опыт работы в области ядерной медицины или медицинской физики</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инженерно-технического обеспечения</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обслуживанию вентиляции объектов с открытыми источниками ионизирующих излучений</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должности на установку или оборудование (спецвентиляция)</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 и (или) средним специальным техническим образованием,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обслуживанию систем сбора и хранения жидких радиоактивных отходов</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должности на установку или оборудование (система сбора и хранения жидких радиоактивных отходов)</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 и (или) средним специальным техническим образованием,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системам теплоснабжения, вентиляции и кондиционированию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4, допуск к обслуживанию сосудов под давлением,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обслуживанию технологических и медицинских газов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допуск к обслуживанию сосудов под давлением,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энергетик</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5,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контрольно-измерительных приборов и автоматики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w:t>
            </w:r>
          </w:p>
          <w:p>
            <w:pPr>
              <w:spacing w:after="0"/>
              <w:ind w:left="0"/>
              <w:jc w:val="left"/>
            </w:pPr>
            <w:r>
              <w:rPr>
                <w:rFonts w:hint="default" w:ascii="Times New Roman" w:hAnsi="Times New Roman"/>
                <w:b w:val="false"/>
                <w:i w:val="false"/>
                <w:color w:val="000000"/>
                <w:sz w:val="24"/>
              </w:rPr>
              <w:t>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5,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Системный администратор</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знание метрологического контроля</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 по водоснабжению и водоотведению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Инженер-технолог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техник контрольно- измерительных приборов и автоматики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средним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Электрик</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средним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4,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Техник по системам теплоснабжения вентиляции и кондиционированию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средним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3, аттестация по правилам, нормам и инструкциям по промышленной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Техник по водоснабжению и водоотведению в ядерной медицине</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единицы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средним техническим образованием.</w:t>
            </w:r>
          </w:p>
          <w:p>
            <w:pPr>
              <w:spacing w:after="0"/>
              <w:ind w:left="0"/>
              <w:jc w:val="left"/>
            </w:pPr>
            <w:r>
              <w:rPr>
                <w:rFonts w:hint="default" w:ascii="Times New Roman" w:hAnsi="Times New Roman"/>
                <w:b w:val="false"/>
                <w:i w:val="false"/>
                <w:color w:val="000000"/>
                <w:sz w:val="24"/>
              </w:rPr>
              <w:t>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3, аттестация по правилам, нормам и инструкциям по промышленной безопасности</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радиоизотопной (радионуклидной) диагностики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 радиоизотопной диагностики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единица на 2 пациента в день</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имеющий сертификат специалиста «Лучевая диагностика» (Ядерная медицина), опыт работы в ядерной медицине</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Врач-реаниматолог</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единица на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имеющий сертификат специалиста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Старшая медицинская сестра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со средним специальным медицинским образованием и стажем работы по специальности не менее 3 лет, сертификат специалиста по специальности или высшее медицинское образование (по специальности «Сестринское дело», «Лечебное дело», «Педиатрия», бакалавриат по специальности «Общая медицина»). Опыт работы в области ядерной медицины, наличие квалификационной категории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сестра отделения радиоизотопной диагностики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5 единиц на 1 аппарат в смену (также зависит от количества пациентов)</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и повышение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Лаборант радиоизотопной (радионуклидной) диагностики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единица на аппарат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со средним специальным, медицинским образованием по специальности «Сестринское дело», и повышением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Регистратор</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единиц в смену на пост</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или средне-специальным образованием</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Сестра хозяйка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Без требований к образованию</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Санитарка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6 единиц в смену (зависит от площади уборки и количества пациентов)</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Без требований к образованию</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Персонал отделения радионуклидной терапии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 радионуклидной терапии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должность на 5 коек</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имеющего сертификат специалиста «Лучевая диагностика» (Ядерная медицина), документ,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Врач-реаниматолог</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должности на 10 коек</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имеющий сертификат специалиста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Врач-кардиолог</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должности на 10 коек</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имеющий сертификат специалиста «Кардиология взрослая, детская»</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Врач-психотерапевт</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должности на 10 коек</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медицинским образованием, имеющий сертификат специалиста «Психотерапия взрослая, детская», документ,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Старшая медицинская сестра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со средним специальным медицинским образованием и стажем работы по специальности не менее 3 лет, сертификат специалиста по специальности или высшее медицинское образование (по специальности «Сестринское дело», «Лечебное дело», «Педиатрия», бакалавриат по специальности «Общая медицина»). Опыт работы в области ядерной медицины, наличие квалификационной категории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Постовая медицинская сестра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должности на 5 коек в смену</w:t>
            </w:r>
          </w:p>
          <w:p>
            <w:pPr>
              <w:spacing w:after="0"/>
              <w:ind w:left="0"/>
              <w:jc w:val="left"/>
            </w:pPr>
            <w:r>
              <w:rPr>
                <w:rFonts w:hint="default" w:ascii="Times New Roman" w:hAnsi="Times New Roman"/>
                <w:b w:val="false"/>
                <w:i w:val="false"/>
                <w:color w:val="000000"/>
                <w:sz w:val="24"/>
              </w:rPr>
              <w:t>2 должность в ночную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документ,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сестра процедурного кабинета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должность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w:t>
            </w:r>
          </w:p>
          <w:p>
            <w:pPr>
              <w:spacing w:after="0"/>
              <w:ind w:left="0"/>
              <w:jc w:val="left"/>
            </w:pPr>
            <w:r>
              <w:rPr>
                <w:rFonts w:hint="default" w:ascii="Times New Roman" w:hAnsi="Times New Roman"/>
                <w:b w:val="false"/>
                <w:i w:val="false"/>
                <w:color w:val="000000"/>
                <w:sz w:val="24"/>
              </w:rPr>
              <w:t>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документ,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сестра палаты интенсивной терапии</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w:t>
            </w:r>
          </w:p>
          <w:p>
            <w:pPr>
              <w:spacing w:after="0"/>
              <w:ind w:left="0"/>
              <w:jc w:val="left"/>
            </w:pPr>
            <w:r>
              <w:rPr>
                <w:rFonts w:hint="default" w:ascii="Times New Roman" w:hAnsi="Times New Roman"/>
                <w:b w:val="false"/>
                <w:i w:val="false"/>
                <w:color w:val="000000"/>
                <w:sz w:val="24"/>
              </w:rPr>
              <w:t>2 должностей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документ, подтверждающий повышение квалификации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Сестра-хозяйка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Среднее образование с прохождением обучения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Санитарка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должности на 5 коек</w:t>
            </w:r>
          </w:p>
          <w:p>
            <w:pPr>
              <w:spacing w:after="0"/>
              <w:ind w:left="0"/>
              <w:jc w:val="left"/>
            </w:pPr>
            <w:r>
              <w:rPr>
                <w:rFonts w:hint="default" w:ascii="Times New Roman" w:hAnsi="Times New Roman"/>
                <w:b w:val="false"/>
                <w:i w:val="false"/>
                <w:color w:val="000000"/>
                <w:sz w:val="24"/>
              </w:rPr>
              <w:t>2 должности в ночную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Среднее образование с прохождением обучения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Регистратор</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единиц в смену на пост</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Специалист с высшим или средне-специальным образованием, с прохождением обучения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Буфетчица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должностей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Среднее образование с прохождением обучения по радиационной безопасности</w:t>
            </w:r>
          </w:p>
        </w:tc>
      </w:tr>
      <w:tr>
        <w:trPr>
          <w:trHeight w:val="15" w:hRule="atLeast"/>
        </w:trPr>
        <w:tc>
          <w:tcPr>
            <w:tcW w:w="423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Прачка</w:t>
            </w:r>
          </w:p>
        </w:tc>
        <w:tc>
          <w:tcPr>
            <w:tcW w:w="345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должностей в смену</w:t>
            </w:r>
          </w:p>
        </w:tc>
        <w:tc>
          <w:tcPr>
            <w:tcW w:w="47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Среднее образование с прохождением обучения по радиационной безопасности</w:t>
            </w:r>
          </w:p>
        </w:tc>
      </w:tr>
    </w:tbl>
    <w:bookmarkEnd w:id="467"/>
    <w:bookmarkStart w:name="2855888977"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Относятся к группе «А», как лица, постоянно или временно работающие с открытыми источниками ионизирующего излучения, согласно подпункту 32) пункта 3 Санитарных правил «Санитарно-эпидемиологические требования к обеспечению радиационной безопасности», утвержденных приказом Министра здравоохранения от 15 декабря 2020 года № ҚР ДСМ-275/2020 (зарегистрирован в Реестре государственной регистрации нормативных правовых актов под № 21822) (далее - № ҚР ДСМ-275/2020).</w:t>
      </w:r>
    </w:p>
    <w:bookmarkEnd w:id="468"/>
    <w:bookmarkStart w:name="2855888978"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Продолжительность рабочей смены составляет 6 часов (работа связана с открытыми источниками ионизирующего излучения, количество рабочих часов в неделю – не более 30).</w:t>
      </w:r>
    </w:p>
    <w:bookmarkEnd w:id="469"/>
    <w:bookmarkStart w:name="2855888979"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Прошедшие обучение по радиационной безопасности согласно пункту 59 приказа № ҚР ДСМ-275/2020.</w:t>
      </w:r>
    </w:p>
    <w:bookmarkEnd w:id="470"/>
    <w:bookmarkStart w:name="2855888980" w:id="471"/>
    <w:p>
      <w:pPr>
        <w:spacing w:before="120" w:after="120" w:line="240"/>
        <w:ind w:left="0"/>
        <w:jc w:val="right"/>
      </w:pPr>
      <w:r>
        <w:rPr>
          <w:rFonts w:hint="default" w:ascii="Times New Roman" w:hAnsi="Times New Roman"/>
          <w:b/>
          <w:i w:val="false"/>
          <w:color w:val="000000"/>
          <w:sz w:val="24"/>
        </w:rPr>
        <w:t>Приложение 11</w:t>
      </w:r>
      <w:r>
        <w:br/>
      </w:r>
      <w:r>
        <w:rPr>
          <w:rFonts w:hint="default" w:ascii="Times New Roman" w:hAnsi="Times New Roman"/>
          <w:b/>
          <w:i w:val="false"/>
          <w:color w:val="000000"/>
          <w:sz w:val="24"/>
        </w:rPr>
        <w:t>
 к Стандарту организации оказания медицинской помощи в области ядерной медицины населению Республики Казахстан</w:t>
      </w:r>
    </w:p>
    <w:bookmarkEnd w:id="471"/>
    <w:bookmarkStart w:name="2855888982" w:id="472"/>
    <w:p>
      <w:pPr>
        <w:spacing w:before="120" w:after="120" w:line="240"/>
        <w:ind w:left="0"/>
        <w:jc w:val="both"/>
      </w:pPr>
      <w:r>
        <w:rPr>
          <w:rFonts w:hint="default" w:ascii="Times New Roman" w:hAnsi="Times New Roman"/>
          <w:b/>
          <w:i w:val="false"/>
          <w:color w:val="000000"/>
          <w:sz w:val="24"/>
        </w:rPr>
        <w:t>Оснащение медицинскими изделями и технологическим оборудованием</w:t>
      </w:r>
    </w:p>
    <w:bookmarkEnd w:id="472"/>
    <w:bookmarkStart w:name="2855888983" w:id="473"/>
    <w:tbl>
      <w:tblPr>
        <w:tblW w:w="1246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040"/>
        <w:gridCol w:w="6848"/>
        <w:gridCol w:w="4572"/>
      </w:tblGrid>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 п/п</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Наименование оснащения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Требуемое количество</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производства и контроль качества радиофармацевтических лекарственных препаратов</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Циклотронный комплекс с системой управления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единица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мишени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комплектов (на один изотоп)</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производства радиофармацевтических лекарственных препаратов (далее- РФЛП), автоматизированный модуль синтеза (в комплекте с персональным компьютером (далее – ПК)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фасовки РФЛП (в комплекте с ПК)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Горячая камера (защитный бокс) в лаборатории синтеза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на 1 модуль синтеза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Вытяжной шкаф с ламинарным потоком класса А c манипуляторами и предкамерой для системы фасовки (в комплекте c дозкалибратором)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штука на 1 фасовщик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Прибор проверки целостности фильтра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штука на 1 фасовщик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Счетчик частиц портативный для классов чистоты А, В, С</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Счетчик частиц ручной для классов чистоты А, В, С</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Пробоотборник микробиологический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очистки воды для чистого помещения с системой контроля качества и набором для санитизации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Защитный вытяжной шкаф (в лабораторию КК)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Высокоэффективный жидкостной хроматограф (далее – ВЭЖХ) в комплекте с детекторами, колонками на каждый РФЛП, ПК, принтером и свинцовой защитой для детектора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Газовый хроматограф (в комплекте с ПК и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Тонкослойной хроматограф (в комплекте с калибровочными источниками, ПК и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Дозкалибратор для измерения активности РФЛП (в комплекте с калибровочными источниками, ПК и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Гамма-спектрометр (в комплекте с калибровочными источниками и ПК)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Осмометр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PH-метр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Lal-тестер в комплекте с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Аналитические весы в комплекте с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Антивибрационный стол для весов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Набор калибровочных гирь</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Стерилизатор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Сухожаровый шкаф</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Прибор проверки целостности фильтра для лаборатории КК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очистки воды для КК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Ультразвуковая ванна (в комплекте с крышкой и корзиной)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бактерицидный (настенный, передвижной)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Источник бесперебойного питания (для циклотрона и его вспомогательных систем, лаборатории синтеза и лаборатории КК)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Набор лабораторной посуды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Набор для анализа бактериальных эндотоксинов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Кримпер, дэ-кримпер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набор</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промывки глаз</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Подвижный вытяжной зонд (в лабораторию КК и мишенную)</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Термогигрометр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10 штук (в лабораторию КК, складские помещения)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Логгеры температуры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5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 фармацевтический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3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Морозильная камера фармацевтическая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Газоанализатор универсальный многоканальный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медицинский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металлический (для хранения изделий медицинского значения, для одежды персонала, для хранения уборочного инвентаря)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Лабораторная мебель для «чистых» помещений (лаборатория синтеза и санитарные шлюзы)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 на 1 помещение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Лабораторная мебель (стол, стул, шкаф, тумба, стеллаж, скамья) для оснащения лаборатории синтеза, лаборатории КК, складских помещений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 на 1 помещение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Офисная мебель (диван, кресло, рабочий стол, офисное кресло, шкаф офисный, шкаф открытого типа, шкаф плательный)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 на 1 кабинет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Столик инструментальный мобильный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для транспортировки грязного белья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для транспортировки чистого белья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49.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для уборки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3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Контейнер для сбора грязного белья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Машинка стиральная для мопов (с функцией стерилизации)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Стационарный компьютер с монитором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 на 1 рабочее место</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Принтер лазерный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Многофункциональное устройство (принтер МФУ)</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Защитные контейнеры для транспортировки РФЛП (виалы)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10 штук (при наличии производства)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Контейнер для сбора радиоактивных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 1 штуки в каждом помещении, где ведутся работы с открытыми источниками ионизирующего излучения (далее - ОИИИ) (лаборатория производства, лаборатория КК, фасовочные)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Контейнер для транспортировки радиоактивных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Экран радиационно-защитный (для помещений с открытыми источниками ионизирующего излучения, далее – ОИИИ)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 1 штуки в каждом помещении, где ведутся работы с ОИИИ (мишенная, лаборатория КК, фасовочные)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Блоки свинцовые защитные</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 в каждом помещении, где ведутся работы с ОИИИ (мишенная, лаборатория КК, фасовочные)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защитный (для хранения калибровочных источников)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Сейф защитный (для хранения РФЛП)</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Индивидуальные радиационные средства защиты (защитные фартуки, воротники, очки, перчатки, ботинки; пластикатовые фартуки, пластикатовые бахилы)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каждого сотрудника, работающего непосредственно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Средства индивидуальной защиты для работы в «чистых» помещениях</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сотрудника на 1 цикл производства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Сейф для хранения документов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автоматизированного видеонаблюдения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контроля «чистых» помещений (в комплекте с датчиками и программным обеспечением)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подготовки сжатого воздуха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внутренней связи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69.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Передаточные окна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на переход по классу чистоты помещения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Защитные двери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на помещение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Ловушка для мышей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Отпугиватель мышей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Ловушка для насекомых</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Основной комплект средств индивидуальной защиты: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а также дополнительная специальная одежда из пленочных материалов или материалов с полмерным покрытием: фартуки, нарукавники, куртки, брюки, резиновая или пластиковая специальная обувь.</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комплекст на каждого сотрудника.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радиоизотопной диагностики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ПЭТ-КТ (в комплекте с программным обеспечением для сбора данных и обработки данных исследований, источник бесперебойного питания (далее - ИБП) для аппарата и рабочих станций, цветным принтером, калибровочными фантомами и калибровочными источниками)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Однофотонный эмиссионный компьютерный томограф, совмещенный с компьютерным томографом (далее – ОФЭКТ/КТ или ОФЭКТ) (в комплекте с программным обеспечением для сбора данных и обработки данных исследований, ИБП для аппарата и рабочих станций, цветным принтером, калибровочными фантомами и калибровочными источниками)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нагрузочная тестов с электрокардиографом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Рабочие станции с мониторами для медицинских изображений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рабочая станция на 2 врача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79.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передачи и архивации DICOM изображений PACS (Picture Archivingand Communication System) с сервером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Источник бесперебойного питания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каждый аппарат, 1 штука на каждый пульт управления и рабочую станцию</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Инжектор для введения контрастного вещества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Инжектор для внутривенного введения РФЛП (в комплекте с калибровочными источниками, ПК и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Дозкалибратор для измерения активности РФЛП (в комплекте с калибровочными источниками, ПК и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 на каждый РФЛП</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Защитный вытяжной шкаф (в фасовочную)</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на каждый РФЛП</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Тонкослойной хроматограф (в комплекте с калибровочными источниками, ПК и принтером)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PH-метр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Набор лабораторной посуды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Сухожаровый шкаф</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89.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 фармацевтический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бактерицидный (настенный, передвижной)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Негатоскоп</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 (1 в комнату первичного осмотра и 1 в ординаторскую)</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Весы медицинские с ростомером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бесконтактный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Тонометр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Глюкометр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Ширма трехсекционная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5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кушетка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Кровать функциональная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4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99.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Тумба прикроватная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4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Консоль надкроватная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Электрическое кресло с инфузионной стойкой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медицинский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металлический (для хранения изделий медицинского назначения, для одежды персонала, для хранения уборочного инвентаря)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Лабораторная мебель (стол, стул, шкаф, тумба, стеллаж, скамья) для оснащения лаборатории синтеза, лаборатории КК, складских помещений)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Офисная мебель (диван, кресло, рабочий стол, офисное кресло, шкаф офисный, шкаф открытого типа, шкаф плательный, офисное кресло для ожиданий, стойка регистратуры)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Столик инструментальный мобильный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для транспортировки грязного белья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для транспортировки чистого белья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109.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для уборки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Контейнер для сбора грязного белья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Кресло-коляска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Стационарный компьютер с монитором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Зависит от проекта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Принтер лазерный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Зависит от проекта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Многофункциональное устройство (принтер МФУ)</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Зависит от проекта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Телевизор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3 штук (в холл регистратуры и в каждую комнату ожидания)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Комбайн для записи дисков в комплекте с программным обеспечением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автоматизированного видеонаблюдения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палатной связи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119.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специализированного освещения для комнат ожидания диагностической процедуры ПЭТ, ПЭТ-КТ исследования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Водяная баня со свинцовой защитой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Защитные контейнеры для транспортировки РФЛП (в шприцах)</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10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Насадки защитные для шприцев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10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Контейнер для сбора радиоактивных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(в каждом помещении, где ведутся работы с ОИИИ (фасовочные, процедурные помещения)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Радиационная защитная ширма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(в помещениях с ОИИИ (процедурная, фасовочная)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Блоки свинцовые защитные</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(в каждом помещении, где ведутся работы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Передаточные окна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переход по классу чистоты помещения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Защитные двери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аппарат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Фантомы для калибровки диагностических аппаратов с учетом срока годности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тип аппарата и (или) по требованию производителя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129.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Основной комплект средств индивидуальной защиты: халат, шапочки, перчатки, легкая обувь и средства защиты органов дыхания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каждого сотрудника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радиационной безопасности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Дозиметр индивидуальный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каждого сотрудника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Дозиметр индивидуальный для кистей рук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каждого сотрудника, работающего непосредственно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Дозиметр индивидуальный для сетчатки глаз</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каждого сотрудника, работающего непосредственно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Дозиметр индивидуальный электронный (измерение мощности экспозиционной дозы)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каждого сотрудника, работающего непосредственно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Низкофоновый альфа, бета радиометр (при наличии отделения радионуклдиной терапии) с калибровочным источником в наличии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мониторинга радиационной обстановки помещений и вентиляции (в комплекте с блоками детекторов по площади контролируемой зоны и подвидам излучения, программным обеспечением, системой звукового оповещения, пультами управления)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Дозиметр-радиометр (альфа, бета, гамма – обязательно, нейтронное излучение – при наличии производства РФЛП)</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(на каждое подразделение)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защитный (для хранения калибровочных источников)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Сейф защитный для хранения РФЛП (4 ячейки)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139.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Индикатор загрязнения рук и ног</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санитарный пропускник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Индивидуальные радиационные средства защиты (защитные фартуки, воротники, очки, перчатки, пластикатовые фартуки, пластикатовые бахилы)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каждого сотрудника (в зависимости от функций сотрудника)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Защитные свинцовые блоки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10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Датчики нейтронного и гамма-излучения для контроля доз в помещении циклотрона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Тележки для транспортировки защитных контейнеров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Тележки для транспортировки радиоактивных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на структурное подразделение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Защитные контейнеры для радиоактивных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в каждом помещении, где ведутся работы с ОИИИ (лаборатория производства, лаборатория КК, фасовочные, процедурные помещения)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Радиационная защитная ширма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в каждом помещении, где ведутся работы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Аварийная укладка для дезактивации радиоактивных загрязнений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 в каждом помещении, где ведутся работы с ОИИИ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Персональный компьютер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сотрдуника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149.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Стеллаж металлический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 штук на тип ИИИ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Основной комплекст средств индивидуальной защиты: специальное белье и обувь, носки, комбинезон или костюм (куртка, брюки), шаопчку или шлем, перчатки, полотенца и носовые платки одноразовые, средства защиты органов дыхания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каждого сотрудника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инженерно-технического обеспечения</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вентиляции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система (с разделением потока воздуха активных зон от неактивных)</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Анемометр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Барометр электронный для помещения для помещения портативный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Баромет для измерения разницы давления портативный (для определения уровня загрязнения фильтров)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Бесконтактный электронный термометр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Контактный электронный термометр с термопарой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Полиэтиленовые мешки для сбора фильтров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 на фильтр</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Набор ключей (рожковые, накидные, универсальные, разводные, специальные торцевые)</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159.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Набор отверток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Шуруповерт</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Гайковерт</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Мультиметр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Каска защитная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сотрудника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Стремянка (высота в зависимости от выполняемых работ)</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Персональный компьютер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сотрдуника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Стеллаж металлический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5 фильтров</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Основной комплект средств индивидуальной защиты: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сотрдуника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Отделение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для хранения жидкой радиоактивной отходы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169.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Спец вентиляция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Основной комплект средств индивидуальной защиты: халат, шапочки, перчатки, легкая обувь и средства защиты органов дыхания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каждого сотрудника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Процедурный кабинет отделения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Вытяжной шкаф-1</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Дозкалибратор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Свинцовый контейнер для медицинских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Защитный фартук, шапочка, защитный воротник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2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Прибор для измерения артериального давления (тонометр)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Фонендоскоп комбинированный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Гигрометр психометрический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 для хранения лекарственных средств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179.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Почкообразный лоток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Комплект для оказания медицинской экстренной и неотложной помощи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для медицинских препаратов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Медицинская кушетка на колесах</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из нержавеющей сталей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Стул</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инстументальный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бактерицидный передвижной (рециркулятор)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Чемодан для аварийного комплекта (радиационная безопасность)</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Штатив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189.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Кресло-пациента процедурное-смотровое</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комнатный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для холодильника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Гигрометр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Палата интенсивной терапии отделения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Аппарат искусственной вентиляции легких стационарный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Дефибриллятор-монитор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Дозатор шприцевой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Кардиомонитор прикроватный с центральным пультом и полным набором функций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Кровать медицинская функциональная с боковыми ограждениями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Ларингоскоп с волоконным световодом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199.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Ларингоскоп универсальный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Мониторная система с двумя блоками центрального наблюдения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Инфузионный волюметрический насос (инфузоматы)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Насос (помпа) инфузионный шприцевой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Вакуумный аспиратор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Централизованная система подачи медицинских газов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отделение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Прибор для измерения артериального давления (тонометр) + Фонендоскоп комбинированный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Тележка-каталка для перевозки пациентов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Электрокардиограф</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бактерицидный передвижной (рециркулятор)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209.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Кресло-каталка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для медикаментов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манипуляционный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перевязочный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для стерильного материала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инструментальный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Столик надкроватный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для медицинских препаратов группы «А» и «В»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Шкаф-сейф для сильнодействующих лекарств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 для хранения лекарственных средств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Палата отделения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219.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Кровать медицинская функциональная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 количеству коек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Прибор для измерения артериального давления (тонометр)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Стационарный дозиметр для измерения мощности дозы от пациента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активную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видео-аудио наблюдения</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Кнопка вызова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 в том числе в санузле</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Система видеосвязи с пациентом (планшет, телефон)</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Телевизор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Прикроватная тумба, стол, стул</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Микроволновая печь</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229.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Электрочайник.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бактерицидный передвижной (рециркулятор)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Свинцовые ширмы</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койку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комнатный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 на палату</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Комплект для ликвидации радиационных аварий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 на 5 коек</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Смотровой кабинет отделения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Радиометр для йод теста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Гигрометр психометрический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бактерицидный передвижной (рециркулятор)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Свинцовый контейнер для медицинских отходов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Тонометр автоматический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239.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Фонендоскоп комбинированный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Глюкометр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безконтактный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Штатив инфузионный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Радиометр для йод теста</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двухстворчатый медицинский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Кресло пациента процедурно-смотровое</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 СИ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 медицинский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Стул</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249.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компьютерный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Компьютер персональный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Принтер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Стул</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Укладка контейнер для переноса пробирок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комнатный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Гигрометр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Весы медицинские с ростомером до 200 килограмм (электронный)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Комплект для ликвидации радиационных аварий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Пост медицинского наблюдения отделения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Гигрометр психометрический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259.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 рецикулятор передвижной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медицинский манипуляционный (для оказания неотложной помощи)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Тонометр автоматический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Фонендоскоп комбинированный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безконтактный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Защитный: фартук, шапочка, воротник</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комплекта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Кресло -каталка медицинская для перевозки пациентов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Тележка-каталка для перевозки пациентов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двухстворчатый медицинский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Шкаф-сейф для документов</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269.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Стул кресло</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Холодильник медицинский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Стол компьютерный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Компьютер персональный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Принтер</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не менее 1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Стул</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комнатный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Комплект для ликвидации радиационных аварий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r>
        <w:trPr>
          <w:trHeight w:val="15" w:hRule="atLeast"/>
        </w:trPr>
        <w:tc>
          <w:tcPr>
            <w:tcW w:w="0" w:type="auto"/>
            <w:gridSpan w:val="3"/>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Прачечная отделения радионуклидной терапии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Гигрометр психометрический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Облучатель – рецикулятор передвижной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279.</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Шкаф двухстворчатый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3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280.</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стеллажи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5 штук</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281.</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Стиральная машина на 25 килограмм</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282.</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Сушильная машина 380В, 20кВт</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283.</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Каланд гладильный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284.</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Гладильная станция 380В, 4кВт-гладильный стол</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285.</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Каток сушильно-гладильный вакуумный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286.</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Тележка из нержавеющей стали для замачивания белья на колесах</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 штуки</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287.</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Термометр комнатный</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штука</w:t>
            </w:r>
          </w:p>
        </w:tc>
      </w:tr>
      <w:tr>
        <w:trPr>
          <w:trHeight w:val="15" w:hRule="atLeast"/>
        </w:trPr>
        <w:tc>
          <w:tcPr>
            <w:tcW w:w="1040"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288.</w:t>
            </w:r>
          </w:p>
        </w:tc>
        <w:tc>
          <w:tcPr>
            <w:tcW w:w="6848"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Комплект для радиационной аварийной безопасности</w:t>
            </w:r>
          </w:p>
        </w:tc>
        <w:tc>
          <w:tcPr>
            <w:tcW w:w="4572"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1 комплект</w:t>
            </w:r>
          </w:p>
        </w:tc>
      </w:tr>
    </w:tbl>
    <w:bookmarkEnd w:id="473"/>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edia/document_image_rId17.jpeg" Type="http://schemas.openxmlformats.org/officeDocument/2006/relationships/image" Id="rId17"/><Relationship Target="media/document_image_rId18.png" Type="http://schemas.openxmlformats.org/officeDocument/2006/relationships/image" Id="rId18"/><Relationship Target="media/document_image_rId19.png" Type="http://schemas.openxmlformats.org/officeDocument/2006/relationships/image" Id="rId19"/><Relationship Target="media/document_image_rId20.png" Type="http://schemas.openxmlformats.org/officeDocument/2006/relationships/image" Id="rId20"/><Relationship Target="media/document_image_rId21.png" Type="http://schemas.openxmlformats.org/officeDocument/2006/relationships/image" Id="rId21"/><Relationship Target="media/document_image_rId22.png" Type="http://schemas.openxmlformats.org/officeDocument/2006/relationships/image" Id="rId22"/><Relationship Target="media/document_image_rId23.png" Type="http://schemas.openxmlformats.org/officeDocument/2006/relationships/image" Id="rId23"/><Relationship Target="media/document_image_rId24.png" Type="http://schemas.openxmlformats.org/officeDocument/2006/relationships/image" Id="rId24"/><Relationship Target="media/document_image_rId25.png" Type="http://schemas.openxmlformats.org/officeDocument/2006/relationships/image" Id="rId25"/><Relationship Target="media/document_image_rId26.png" Type="http://schemas.openxmlformats.org/officeDocument/2006/relationships/image" Id="rId26"/><Relationship Target="media/document_image_rId27.png" Type="http://schemas.openxmlformats.org/officeDocument/2006/relationships/image" Id="rId27"/><Relationship Target="media/document_image_rId28.png" Type="http://schemas.openxmlformats.org/officeDocument/2006/relationships/image" Id="rId28"/><Relationship Target="media/document_image_rId29.png" Type="http://schemas.openxmlformats.org/officeDocument/2006/relationships/image" Id="rId29"/><Relationship Target="media/document_image_rId30.png" Type="http://schemas.openxmlformats.org/officeDocument/2006/relationships/image" Id="rId30"/><Relationship Target="media/document_image_rId31.png" Type="http://schemas.openxmlformats.org/officeDocument/2006/relationships/image" Id="rId31"/></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